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A" w:rsidRDefault="0043247A" w:rsidP="0043247A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7205" cy="607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43247A" w:rsidRPr="00BC4E65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3247A" w:rsidRPr="00BC4E65" w:rsidRDefault="0043247A" w:rsidP="0043247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C4E65">
        <w:rPr>
          <w:b w:val="0"/>
          <w:sz w:val="28"/>
          <w:szCs w:val="28"/>
        </w:rPr>
        <w:t>АДМИНИСТРАЦИЯ МУНИЦИПАЛЬНОГО РАЙОНА</w:t>
      </w:r>
    </w:p>
    <w:p w:rsidR="0043247A" w:rsidRPr="00BC4E65" w:rsidRDefault="0043247A" w:rsidP="0043247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3247A" w:rsidRPr="00BC4E65" w:rsidRDefault="002A410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04.02.2020      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D09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>
        <w:rPr>
          <w:rFonts w:ascii="Times New Roman" w:hAnsi="Times New Roman" w:cs="Times New Roman"/>
          <w:sz w:val="28"/>
          <w:szCs w:val="28"/>
        </w:rPr>
        <w:tab/>
      </w:r>
      <w:r w:rsidR="0043247A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3247A" w:rsidRPr="00BC4E65" w:rsidRDefault="0043247A" w:rsidP="0043247A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с. Амурзет</w:t>
      </w:r>
    </w:p>
    <w:p w:rsidR="002A76F1" w:rsidRDefault="002A76F1" w:rsidP="00EF03FB">
      <w:pPr>
        <w:spacing w:after="60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 внесении изменений и дополнений в муниципальную программу 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2018 - 2020 годы»</w:t>
      </w:r>
    </w:p>
    <w:p w:rsidR="0043247A" w:rsidRPr="0043247A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12 февраля 1998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гражданской обороне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Федерального закона от 21 декабря 1994 г.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68-ФЗ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Устава муниципального образования 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муниципальный район"</w:t>
      </w:r>
      <w:r w:rsidR="005E5F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3247A" w:rsidRPr="0043247A" w:rsidRDefault="0043247A" w:rsidP="005E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A76F1" w:rsidRDefault="0043247A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муниципального района от 19.04.2018 № 69 «Об утверждении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муниципальной программы «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="002A76F1"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 w:rsidR="002A76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2018 - 2020 годы»</w:t>
      </w:r>
      <w:r w:rsidR="002A7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A76F1" w:rsidRDefault="002A76F1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Наименование постановления изложить в следующей редакции: «Об утверждении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муниципальной программы 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A76F1" w:rsidRDefault="002A76F1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1 постановления изложить в следующей редакции: 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Предупреждение и ликвидация чрезвычайных ситуаций на территории </w:t>
      </w:r>
      <w:proofErr w:type="gramStart"/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A76F1" w:rsidRDefault="002A76F1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Пункт 2 постановления утратить силу;</w:t>
      </w:r>
    </w:p>
    <w:p w:rsidR="002A76F1" w:rsidRDefault="002A76F1" w:rsidP="00432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Муниципальную программу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Предупреждение и ликвидация 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природного и техногенного характера </w:t>
      </w:r>
      <w:r w:rsidRPr="004324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территории Октябрьского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8D4F34" w:rsidRDefault="008D4F34" w:rsidP="002A76F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Default="002A76F1" w:rsidP="002A76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356FB" w:rsidRDefault="00E356FB" w:rsidP="005E5FF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5E5FF4" w:rsidRPr="00B07BC4" w:rsidRDefault="00E23BB5" w:rsidP="005E5FF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r w:rsidR="005E5FF4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5E5FF4" w:rsidRPr="00B07BC4" w:rsidRDefault="005E5FF4" w:rsidP="005E5FF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5E5FF4" w:rsidRPr="00B07BC4" w:rsidRDefault="005E5FF4" w:rsidP="005E5FF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муниципального района</w:t>
      </w:r>
    </w:p>
    <w:p w:rsidR="0043247A" w:rsidRPr="0043247A" w:rsidRDefault="0043247A" w:rsidP="005E5FF4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A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04.02.2020 года 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FF4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10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43247A" w:rsidRDefault="0043247A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Default="00620064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064" w:rsidRPr="00620064" w:rsidRDefault="00620064" w:rsidP="0062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620064" w:rsidRPr="00620064" w:rsidRDefault="00620064" w:rsidP="0062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«Предупреждение и ликвидация чрезвычайных ситуаций на территории </w:t>
      </w:r>
      <w:proofErr w:type="gramStart"/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Октябрьского</w:t>
      </w:r>
      <w:proofErr w:type="gramEnd"/>
      <w:r w:rsidRPr="006200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 района»</w:t>
      </w: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4031A4" w:rsidRDefault="004031A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B34E51" w:rsidRDefault="00B34E51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B34E51" w:rsidRDefault="00B34E51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Default="00620064" w:rsidP="00620064">
      <w:pPr>
        <w:autoSpaceDE w:val="0"/>
        <w:autoSpaceDN w:val="0"/>
        <w:adjustRightInd w:val="0"/>
        <w:jc w:val="both"/>
        <w:rPr>
          <w:szCs w:val="28"/>
        </w:rPr>
      </w:pPr>
    </w:p>
    <w:p w:rsidR="00620064" w:rsidRPr="00620064" w:rsidRDefault="00620064" w:rsidP="006200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0064">
        <w:rPr>
          <w:rFonts w:ascii="Times New Roman" w:hAnsi="Times New Roman" w:cs="Times New Roman"/>
          <w:sz w:val="28"/>
          <w:szCs w:val="28"/>
        </w:rPr>
        <w:t>с. Амурзет</w:t>
      </w:r>
    </w:p>
    <w:p w:rsidR="00620064" w:rsidRPr="00620064" w:rsidRDefault="00620064" w:rsidP="006200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0064">
        <w:rPr>
          <w:rFonts w:ascii="Times New Roman" w:hAnsi="Times New Roman" w:cs="Times New Roman"/>
          <w:sz w:val="28"/>
          <w:szCs w:val="28"/>
        </w:rPr>
        <w:t>2020 год</w:t>
      </w:r>
    </w:p>
    <w:p w:rsidR="0043247A" w:rsidRPr="00620064" w:rsidRDefault="0043247A" w:rsidP="0043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0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Паспорт муниципальной программы </w:t>
      </w:r>
    </w:p>
    <w:p w:rsidR="0043247A" w:rsidRPr="0043247A" w:rsidRDefault="0043247A" w:rsidP="00432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43247A" w:rsidRPr="0043247A" w:rsidTr="00774B8C">
        <w:tc>
          <w:tcPr>
            <w:tcW w:w="2943" w:type="dxa"/>
            <w:hideMark/>
          </w:tcPr>
          <w:p w:rsidR="0043247A" w:rsidRPr="0043247A" w:rsidRDefault="00BB7C47" w:rsidP="00BB7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663" w:type="dxa"/>
            <w:hideMark/>
          </w:tcPr>
          <w:p w:rsidR="0043247A" w:rsidRPr="0043247A" w:rsidRDefault="005E5FF4" w:rsidP="008D4F3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чрезвычайных ситуаций на территории </w:t>
            </w:r>
            <w:proofErr w:type="gramStart"/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7C47" w:rsidRPr="0043247A" w:rsidTr="00774B8C">
        <w:tc>
          <w:tcPr>
            <w:tcW w:w="2943" w:type="dxa"/>
            <w:hideMark/>
          </w:tcPr>
          <w:p w:rsidR="00BB7C47" w:rsidRPr="0043247A" w:rsidRDefault="00BB7C47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3" w:type="dxa"/>
            <w:hideMark/>
          </w:tcPr>
          <w:p w:rsidR="00BB7C47" w:rsidRPr="0043247A" w:rsidRDefault="00B34E51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администрации муниципального района по делам ГО и ЧС</w:t>
            </w:r>
          </w:p>
        </w:tc>
      </w:tr>
      <w:tr w:rsidR="00BB7C47" w:rsidRPr="0043247A" w:rsidTr="00774B8C">
        <w:tc>
          <w:tcPr>
            <w:tcW w:w="2943" w:type="dxa"/>
            <w:hideMark/>
          </w:tcPr>
          <w:p w:rsidR="00BB7C47" w:rsidRPr="0043247A" w:rsidRDefault="00DA6CA6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  <w:r w:rsidR="00BB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3" w:type="dxa"/>
            <w:hideMark/>
          </w:tcPr>
          <w:p w:rsidR="00BB7C47" w:rsidRPr="0043247A" w:rsidRDefault="00B34E51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7C47" w:rsidRPr="0043247A" w:rsidTr="00774B8C">
        <w:tc>
          <w:tcPr>
            <w:tcW w:w="2943" w:type="dxa"/>
            <w:hideMark/>
          </w:tcPr>
          <w:p w:rsidR="00BB7C47" w:rsidRDefault="00BB7C47" w:rsidP="00B07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3" w:type="dxa"/>
            <w:hideMark/>
          </w:tcPr>
          <w:p w:rsidR="00BB7C47" w:rsidRPr="0043247A" w:rsidRDefault="00BB7C47" w:rsidP="00BB7C47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Предупреждение и ликвидация чрезвычайных ситуаций, защита населения и территории муниципального образования 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«Октябрьский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  <w:p w:rsidR="00BB7C47" w:rsidRPr="0043247A" w:rsidRDefault="00BB7C47" w:rsidP="00BB7C47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готовности сил и средств муниципального района к проведению аварийно-спасательных и других неотложных работ в случае возникновения чрезвычайных ситуаций мирного и военного времени.</w:t>
            </w:r>
          </w:p>
          <w:p w:rsidR="00BB7C47" w:rsidRDefault="00BB7C47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47A" w:rsidRPr="0043247A" w:rsidTr="00774B8C">
        <w:tc>
          <w:tcPr>
            <w:tcW w:w="2943" w:type="dxa"/>
            <w:hideMark/>
          </w:tcPr>
          <w:p w:rsidR="0043247A" w:rsidRPr="0043247A" w:rsidRDefault="00BB7C47" w:rsidP="00BB7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="0043247A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663" w:type="dxa"/>
            <w:hideMark/>
          </w:tcPr>
          <w:p w:rsidR="0043247A" w:rsidRPr="0043247A" w:rsidRDefault="0043247A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Реализация системы мер по подготовке населения и специалистов к действиям в чрезвычайных ситуациях мирного и военного времени.</w:t>
            </w:r>
          </w:p>
          <w:p w:rsidR="0043247A" w:rsidRPr="0043247A" w:rsidRDefault="0043247A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Осуществление пропаганды знаний в области гражданской обороны, защиты населения и территорий от чрезвычайных ситуаций мирного и военного времени.</w:t>
            </w:r>
          </w:p>
          <w:p w:rsidR="0043247A" w:rsidRPr="0043247A" w:rsidRDefault="0043247A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Организация проведения мероприятий по первоочередному жизнеобеспечению населения, пострадавшего в чрезвычайных ситуациях.</w:t>
            </w:r>
          </w:p>
          <w:p w:rsidR="0043247A" w:rsidRPr="0043247A" w:rsidRDefault="0043247A" w:rsidP="00B07BC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Создание, обновление и пополнение резервов материальных ресурсов для предупреждения и ликвидации чрезвычайных ситуаций мирного и военного времени</w:t>
            </w:r>
          </w:p>
        </w:tc>
      </w:tr>
      <w:tr w:rsidR="00BF5007" w:rsidRPr="0043247A" w:rsidTr="00774B8C">
        <w:tc>
          <w:tcPr>
            <w:tcW w:w="2943" w:type="dxa"/>
            <w:hideMark/>
          </w:tcPr>
          <w:p w:rsidR="00BF5007" w:rsidRPr="0043247A" w:rsidRDefault="00BF5007" w:rsidP="002A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елевые индикаторы и показатели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663" w:type="dxa"/>
            <w:hideMark/>
          </w:tcPr>
          <w:p w:rsidR="00BF5007" w:rsidRPr="0043247A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ежегодно обучаемого неработающего населения способам защиты и действиям в чрезвычайных ситуациях;</w:t>
            </w:r>
          </w:p>
          <w:p w:rsidR="00BF5007" w:rsidRPr="0043247A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человек, ежегодно привлекаемых к участию в различных мероприятиях по линии гражданской обороны (учения, тренировки и т.п.);</w:t>
            </w:r>
          </w:p>
          <w:p w:rsidR="00BF5007" w:rsidRPr="0043247A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квалификации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РСЧС);</w:t>
            </w:r>
          </w:p>
          <w:p w:rsidR="00BF5007" w:rsidRPr="0043247A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ежегодно информируемого населения муниципального района о безопасности жизнедеятельности с помощью средств массовой информации;</w:t>
            </w:r>
          </w:p>
          <w:p w:rsidR="00BF5007" w:rsidRPr="0043247A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обновление и пополнение резервов материальных ресурсов для предупреждения и ликвидации чрезвычайных ситуаций мирного и военного времени</w:t>
            </w:r>
          </w:p>
        </w:tc>
      </w:tr>
      <w:tr w:rsidR="00BF5007" w:rsidRPr="0043247A" w:rsidTr="00774B8C">
        <w:tc>
          <w:tcPr>
            <w:tcW w:w="2943" w:type="dxa"/>
            <w:hideMark/>
          </w:tcPr>
          <w:p w:rsidR="00BF5007" w:rsidRPr="0043247A" w:rsidRDefault="00774B8C" w:rsidP="00774B8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086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663" w:type="dxa"/>
            <w:hideMark/>
          </w:tcPr>
          <w:p w:rsidR="00BF5007" w:rsidRPr="0043247A" w:rsidRDefault="008D4F34" w:rsidP="008D4F34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F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5007"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F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7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один этап</w:t>
            </w:r>
          </w:p>
        </w:tc>
      </w:tr>
      <w:tr w:rsidR="00BF5007" w:rsidRPr="0043247A" w:rsidTr="00774B8C">
        <w:tc>
          <w:tcPr>
            <w:tcW w:w="2943" w:type="dxa"/>
            <w:hideMark/>
          </w:tcPr>
          <w:p w:rsidR="00BF5007" w:rsidRPr="004E6461" w:rsidRDefault="00BF5007" w:rsidP="002A7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реализации муниципальной программы за счёт средств местного бюджета</w:t>
            </w:r>
            <w:r w:rsidR="00DA6CA6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прогнозная оценка расходов </w:t>
            </w:r>
            <w:r w:rsidR="00752E2B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бюджета, внебюджетных средств на реализацию 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 муниципальной программы по годам</w:t>
            </w:r>
          </w:p>
        </w:tc>
        <w:tc>
          <w:tcPr>
            <w:tcW w:w="6663" w:type="dxa"/>
            <w:hideMark/>
          </w:tcPr>
          <w:p w:rsidR="00BF5007" w:rsidRPr="004E6461" w:rsidRDefault="00BF5007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 из средств местного бюджета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410D2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E6461" w:rsidRPr="004E6461" w:rsidRDefault="008D4F34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6461"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руб.;</w:t>
            </w:r>
          </w:p>
          <w:p w:rsidR="004E6461" w:rsidRPr="004E6461" w:rsidRDefault="004E6461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год – 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4E6461" w:rsidRPr="004E6461" w:rsidRDefault="004E6461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16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D4F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0D2" w:rsidRPr="004E6461" w:rsidRDefault="009410D2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2B" w:rsidRPr="0043247A" w:rsidTr="00774B8C">
        <w:tc>
          <w:tcPr>
            <w:tcW w:w="2943" w:type="dxa"/>
            <w:hideMark/>
          </w:tcPr>
          <w:p w:rsidR="00752E2B" w:rsidRPr="0043247A" w:rsidRDefault="00752E2B" w:rsidP="007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рограммы.</w:t>
            </w:r>
          </w:p>
        </w:tc>
        <w:tc>
          <w:tcPr>
            <w:tcW w:w="6663" w:type="dxa"/>
            <w:hideMark/>
          </w:tcPr>
          <w:p w:rsidR="00752E2B" w:rsidRPr="0043247A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предупреждение и ликвидация чрезвычайных ситуаций, защита населения и территории муниципального образования 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муниципальный район</w:t>
            </w:r>
            <w:r w:rsidRPr="00B0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чрезвычайных ситуаций природного и техногенного характера;</w:t>
            </w:r>
          </w:p>
          <w:p w:rsidR="00752E2B" w:rsidRPr="0043247A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уровня подготовки населения и специалистов к действиям в чрезвычайных ситуациях мирного и военного времени;</w:t>
            </w:r>
          </w:p>
          <w:p w:rsidR="00752E2B" w:rsidRPr="0043247A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усиление пропаганды знаний и обучение населения безопасному поведению в экстремальных ситуациях, профилактика и предупреждение ЧС;</w:t>
            </w:r>
          </w:p>
          <w:p w:rsidR="00752E2B" w:rsidRPr="0043247A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у обучающейся молодежи активной жизненной позиции;</w:t>
            </w:r>
          </w:p>
          <w:p w:rsidR="00752E2B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процента обеспеченности работников администрации муниципального образования средствами защиты органов дыхания и медицинской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2E2B" w:rsidRPr="0043247A" w:rsidRDefault="00752E2B" w:rsidP="002A76F1">
            <w:pPr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неснижаемого запаса</w:t>
            </w: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резервов материальных ресурсов для предупреждения и ликвидации чрезвычайных ситуаций мирного и военного времени</w:t>
            </w:r>
          </w:p>
        </w:tc>
      </w:tr>
    </w:tbl>
    <w:p w:rsidR="00620064" w:rsidRDefault="00620064" w:rsidP="00620064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064" w:rsidRPr="00620064" w:rsidRDefault="0043247A" w:rsidP="005E39B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064">
        <w:rPr>
          <w:rFonts w:ascii="Times New Roman" w:eastAsia="Times New Roman" w:hAnsi="Times New Roman" w:cs="Times New Roman"/>
          <w:b/>
          <w:sz w:val="28"/>
          <w:szCs w:val="28"/>
        </w:rPr>
        <w:t>2. Общая характеристика сферы реал</w:t>
      </w:r>
      <w:r w:rsidR="0058555D" w:rsidRPr="00620064">
        <w:rPr>
          <w:rFonts w:ascii="Times New Roman" w:eastAsia="Times New Roman" w:hAnsi="Times New Roman" w:cs="Times New Roman"/>
          <w:b/>
          <w:sz w:val="28"/>
          <w:szCs w:val="28"/>
        </w:rPr>
        <w:t>изации муниципальной программы,</w:t>
      </w:r>
      <w:r w:rsidR="00620064" w:rsidRPr="00620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0064">
        <w:rPr>
          <w:rFonts w:ascii="Times New Roman" w:eastAsia="Times New Roman" w:hAnsi="Times New Roman" w:cs="Times New Roman"/>
          <w:b/>
          <w:sz w:val="28"/>
          <w:szCs w:val="28"/>
        </w:rPr>
        <w:t>в том числе основных проблем, и прогноз ее развития</w:t>
      </w:r>
    </w:p>
    <w:p w:rsidR="00620064" w:rsidRPr="00620064" w:rsidRDefault="00620064" w:rsidP="0062006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47A" w:rsidRPr="00620064" w:rsidRDefault="00620064" w:rsidP="0062006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247A" w:rsidRPr="00620064">
        <w:rPr>
          <w:rFonts w:ascii="Times New Roman" w:eastAsia="Times New Roman" w:hAnsi="Times New Roman" w:cs="Times New Roman"/>
          <w:sz w:val="24"/>
          <w:szCs w:val="24"/>
        </w:rPr>
        <w:t xml:space="preserve">Анализ чрезвычайных ситуаций, имевших место на территории </w:t>
      </w:r>
      <w:r w:rsidR="0058555D" w:rsidRPr="00620064">
        <w:rPr>
          <w:rFonts w:ascii="Times New Roman" w:eastAsia="Times New Roman" w:hAnsi="Times New Roman" w:cs="Times New Roman"/>
          <w:sz w:val="24"/>
          <w:szCs w:val="24"/>
        </w:rPr>
        <w:t>Октябрьского муниципального</w:t>
      </w:r>
      <w:r w:rsidR="0043247A" w:rsidRPr="00620064">
        <w:rPr>
          <w:rFonts w:ascii="Times New Roman" w:eastAsia="Times New Roman" w:hAnsi="Times New Roman" w:cs="Times New Roman"/>
          <w:sz w:val="24"/>
          <w:szCs w:val="24"/>
        </w:rPr>
        <w:t xml:space="preserve"> района, свидетельствует, что на фоне снижения количества ЧС техногенного характера вероятность возрастания общего количества чрезвычайных ситуаций, а также ситуаций природного характера сохраняется.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Заблаговременная подготовка в районе к ликвидации возможных ЧС </w:t>
      </w:r>
      <w:proofErr w:type="gramStart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организовывается и проводится</w:t>
      </w:r>
      <w:proofErr w:type="gramEnd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в соответствии с их полномочиями, установленными Федеральным законом </w:t>
      </w:r>
      <w:r w:rsidR="0058555D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 населения и территорий от ЧС природного и техногенного характера</w:t>
      </w:r>
      <w:r w:rsidR="0058555D" w:rsidRPr="00B07B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основе соответствующих программ и планов.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Проблему обеспечения безопасности населения и территорий невозможно решить только путем увеличения расходов на ликвидацию последствий чрезвычайных ситуаций.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по защите населения и территории от ЧС достигается осуществлением комплекса различных программно-целевых методов.</w:t>
      </w:r>
    </w:p>
    <w:p w:rsidR="0043247A" w:rsidRPr="00774B8C" w:rsidRDefault="0043247A" w:rsidP="0058555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Приоритеты </w:t>
      </w:r>
      <w:r w:rsidR="00752E2B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</w:t>
      </w: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политики в сфере реализации муниципальной программы, цели и задачи муниципальной программы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мероприятиями, обеспечивающими создание действенных предпосылок для успешной ликвидации в последующем ЧС, являются: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разработка и реализация правовых экономических норм, связанных с обеспечением защиты населения и территорий от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целевых программ, направленных на предупреждение ЧС и повышение устойчивости функционирования предприятий, учреждений и организаций независимо от их организационно-правовых форм, а также подведомственных им объектов производственного и социального назначения;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готовности к действиям органов управления, сил и средств, предназначенных для предупреждения и ликвидации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населения к действиям при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прогнозирование и оценка социально-экономических последствий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резервов финансовых ресурсов для ликвидации ЧС.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Программы.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основные ориентиры формирования системы предупреждения чрезвычайных ситуаций, основной целью муниципальной программы является заблаговременная подготовка в районе к ликвидации возможных ЧС, а также комплексный подход к ликвидации ЧС.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данной цели предполагается решение следующих задач: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чрезвычайной ситуации (наледи, наводнения, пожары, землетрясения), а также ситуаций, связанных с нарушением обеспечения населения района водой, электроэнергией, теплом.</w:t>
      </w:r>
      <w:proofErr w:type="gramEnd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транспортных услуг;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резервов материальных ресурсов для ликвидации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должностных лиц, органов управления, формирований и населения к действиям в ЧС;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профилактическая работа.</w:t>
      </w:r>
    </w:p>
    <w:p w:rsidR="0043247A" w:rsidRDefault="0043247A" w:rsidP="0058555D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Перечень показателей (индикаторов)</w:t>
      </w:r>
      <w:r w:rsidR="0058555D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5E39B7" w:rsidRPr="005E39B7" w:rsidRDefault="005E39B7" w:rsidP="005E39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9B7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изложены в таблице 1.</w:t>
      </w:r>
    </w:p>
    <w:p w:rsidR="00331534" w:rsidRDefault="00331534" w:rsidP="00070556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43247A" w:rsidRPr="003C08B1" w:rsidRDefault="0043247A" w:rsidP="000705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8B1">
        <w:rPr>
          <w:rFonts w:ascii="Times New Roman" w:eastAsia="Times New Roman" w:hAnsi="Times New Roman" w:cs="Times New Roman"/>
          <w:sz w:val="24"/>
          <w:szCs w:val="24"/>
        </w:rPr>
        <w:t>Сведения о</w:t>
      </w:r>
      <w:r w:rsidR="00BA6B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E2B" w:rsidRPr="003C08B1">
        <w:rPr>
          <w:rFonts w:ascii="Times New Roman" w:eastAsia="Times New Roman" w:hAnsi="Times New Roman" w:cs="Times New Roman"/>
          <w:sz w:val="24"/>
          <w:szCs w:val="24"/>
        </w:rPr>
        <w:t xml:space="preserve">индикаторах </w:t>
      </w:r>
      <w:r w:rsidRPr="003C08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2E2B" w:rsidRPr="003C08B1">
        <w:rPr>
          <w:rFonts w:ascii="Times New Roman" w:eastAsia="Times New Roman" w:hAnsi="Times New Roman" w:cs="Times New Roman"/>
          <w:sz w:val="24"/>
          <w:szCs w:val="24"/>
        </w:rPr>
        <w:t>показателях</w:t>
      </w:r>
      <w:r w:rsidRPr="003C08B1">
        <w:rPr>
          <w:rFonts w:ascii="Times New Roman" w:eastAsia="Times New Roman" w:hAnsi="Times New Roman" w:cs="Times New Roman"/>
          <w:sz w:val="24"/>
          <w:szCs w:val="24"/>
        </w:rPr>
        <w:t xml:space="preserve">) муниципальной программы </w:t>
      </w:r>
      <w:r w:rsidR="0058555D" w:rsidRPr="003C08B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08B1">
        <w:rPr>
          <w:rFonts w:ascii="Times New Roman" w:eastAsia="Times New Roman" w:hAnsi="Times New Roman" w:cs="Times New Roman"/>
          <w:sz w:val="24"/>
          <w:szCs w:val="24"/>
        </w:rPr>
        <w:t>Предупреждение и ликвидация чрезвычайных ситуаций на территории О</w:t>
      </w:r>
      <w:r w:rsidR="0058555D" w:rsidRPr="003C08B1">
        <w:rPr>
          <w:rFonts w:ascii="Times New Roman" w:eastAsia="Times New Roman" w:hAnsi="Times New Roman" w:cs="Times New Roman"/>
          <w:sz w:val="24"/>
          <w:szCs w:val="24"/>
        </w:rPr>
        <w:t>ктябрьског</w:t>
      </w:r>
      <w:r w:rsidRPr="003C08B1">
        <w:rPr>
          <w:rFonts w:ascii="Times New Roman" w:eastAsia="Times New Roman" w:hAnsi="Times New Roman" w:cs="Times New Roman"/>
          <w:sz w:val="24"/>
          <w:szCs w:val="24"/>
        </w:rPr>
        <w:t>о муниципального района</w:t>
      </w:r>
      <w:r w:rsidR="0058555D" w:rsidRPr="003C08B1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3"/>
        <w:tblW w:w="9534" w:type="dxa"/>
        <w:tblLook w:val="04A0"/>
      </w:tblPr>
      <w:tblGrid>
        <w:gridCol w:w="514"/>
        <w:gridCol w:w="4422"/>
        <w:gridCol w:w="1202"/>
        <w:gridCol w:w="1132"/>
        <w:gridCol w:w="1132"/>
        <w:gridCol w:w="1132"/>
      </w:tblGrid>
      <w:tr w:rsidR="00752E2B" w:rsidRPr="00CC5770" w:rsidTr="002A76F1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02" w:type="dxa"/>
            <w:vMerge w:val="restart"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96" w:type="dxa"/>
            <w:gridSpan w:val="3"/>
            <w:vAlign w:val="center"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752E2B" w:rsidRPr="00CC5770" w:rsidTr="00752E2B">
        <w:trPr>
          <w:tblHeader/>
        </w:trPr>
        <w:tc>
          <w:tcPr>
            <w:tcW w:w="0" w:type="auto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752E2B" w:rsidRPr="00070556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  <w:hideMark/>
          </w:tcPr>
          <w:p w:rsidR="00752E2B" w:rsidRPr="00070556" w:rsidRDefault="00752E2B" w:rsidP="008D4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D4F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vAlign w:val="center"/>
            <w:hideMark/>
          </w:tcPr>
          <w:p w:rsidR="00752E2B" w:rsidRPr="00070556" w:rsidRDefault="00752E2B" w:rsidP="008D4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D4F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  <w:hideMark/>
          </w:tcPr>
          <w:p w:rsidR="00752E2B" w:rsidRPr="00070556" w:rsidRDefault="00752E2B" w:rsidP="008D4F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5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D4F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2E2B" w:rsidRPr="00CC5770" w:rsidTr="00752E2B">
        <w:tc>
          <w:tcPr>
            <w:tcW w:w="0" w:type="auto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1202" w:type="dxa"/>
            <w:hideMark/>
          </w:tcPr>
          <w:p w:rsidR="00752E2B" w:rsidRPr="003C08B1" w:rsidRDefault="00752E2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2" w:type="dxa"/>
            <w:hideMark/>
          </w:tcPr>
          <w:p w:rsidR="00752E2B" w:rsidRPr="003C08B1" w:rsidRDefault="008D4F34" w:rsidP="003C08B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  <w:hideMark/>
          </w:tcPr>
          <w:p w:rsidR="00752E2B" w:rsidRPr="003C08B1" w:rsidRDefault="008D4F34" w:rsidP="003C08B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  <w:hideMark/>
          </w:tcPr>
          <w:p w:rsidR="00752E2B" w:rsidRPr="003C08B1" w:rsidRDefault="008D4F34" w:rsidP="003C08B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E2B" w:rsidRPr="003C08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52E2B" w:rsidRPr="00CC5770" w:rsidTr="00752E2B">
        <w:tc>
          <w:tcPr>
            <w:tcW w:w="0" w:type="auto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20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2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2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52E2B" w:rsidRPr="00CC5770" w:rsidTr="00752E2B">
        <w:tc>
          <w:tcPr>
            <w:tcW w:w="0" w:type="auto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120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2B" w:rsidRPr="00CC5770" w:rsidTr="00752E2B">
        <w:tc>
          <w:tcPr>
            <w:tcW w:w="0" w:type="auto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повышающих квалификацию специалистов отдела по делам ГО и ЧС в муниципальном образовании и районного звена </w:t>
            </w: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120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2" w:type="dxa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hideMark/>
          </w:tcPr>
          <w:p w:rsidR="00752E2B" w:rsidRPr="003C08B1" w:rsidRDefault="008D4F34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2E2B"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E2B" w:rsidRPr="00CC5770" w:rsidTr="00752E2B">
        <w:tc>
          <w:tcPr>
            <w:tcW w:w="0" w:type="auto"/>
            <w:hideMark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2" w:type="dxa"/>
            <w:hideMark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средств защиты органов дыхания и медицинских средств защиты</w:t>
            </w:r>
          </w:p>
        </w:tc>
        <w:tc>
          <w:tcPr>
            <w:tcW w:w="1202" w:type="dxa"/>
            <w:hideMark/>
          </w:tcPr>
          <w:p w:rsidR="00752E2B" w:rsidRPr="003C08B1" w:rsidRDefault="00752E2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hideMark/>
          </w:tcPr>
          <w:p w:rsidR="00752E2B" w:rsidRPr="003C08B1" w:rsidRDefault="00752E2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hideMark/>
          </w:tcPr>
          <w:p w:rsidR="00752E2B" w:rsidRPr="003C08B1" w:rsidRDefault="00752E2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hideMark/>
          </w:tcPr>
          <w:p w:rsidR="00752E2B" w:rsidRPr="003C08B1" w:rsidRDefault="00752E2B" w:rsidP="00CE2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E2B" w:rsidRPr="00CC5770" w:rsidTr="00752E2B">
        <w:tc>
          <w:tcPr>
            <w:tcW w:w="0" w:type="auto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22" w:type="dxa"/>
          </w:tcPr>
          <w:p w:rsidR="00752E2B" w:rsidRPr="003C08B1" w:rsidRDefault="00752E2B" w:rsidP="00070556">
            <w:pPr>
              <w:ind w:firstLine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1202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2" w:type="dxa"/>
          </w:tcPr>
          <w:p w:rsidR="00752E2B" w:rsidRPr="003C08B1" w:rsidRDefault="00752E2B" w:rsidP="00585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3247A" w:rsidRPr="00774B8C" w:rsidRDefault="0043247A" w:rsidP="0011371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Прогноз конечных результатов муниципальной программы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в</w:t>
      </w:r>
      <w:r w:rsidR="00252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достигнуть: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своевременного предупреждения и ликвидации чрезвычайных ситуаций;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защиты населения и территории муниципального образования от чрезвычайных ситуаций природного и техногенного характера;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поддержания в постоянной готовности сил и средств, предназначенных для ликвидации чрезвычайных ситуаций;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восполнения материальных ресурсов материального резерва;</w:t>
      </w:r>
    </w:p>
    <w:p w:rsidR="0043247A" w:rsidRPr="0043247A" w:rsidRDefault="0043247A" w:rsidP="0058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3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уровня квалификации должностных лиц и информированности населения к действиям в ЧС.</w:t>
      </w:r>
    </w:p>
    <w:p w:rsidR="0043247A" w:rsidRDefault="0043247A" w:rsidP="0011371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Сроки и этапы реализации муниципальной программы</w:t>
      </w:r>
    </w:p>
    <w:p w:rsidR="005E39B7" w:rsidRPr="005E39B7" w:rsidRDefault="005E39B7" w:rsidP="005E3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9B7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- 2020 - 2022 годы.</w:t>
      </w:r>
    </w:p>
    <w:p w:rsidR="00A34171" w:rsidRDefault="00774B8C" w:rsidP="002217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Система программных </w:t>
      </w:r>
      <w:r w:rsidR="00A34171" w:rsidRPr="00774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</w:t>
      </w:r>
    </w:p>
    <w:p w:rsidR="004031A4" w:rsidRDefault="005E39B7" w:rsidP="005E39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031A4" w:rsidSect="00B34E51">
          <w:type w:val="continuous"/>
          <w:pgSz w:w="11906" w:h="16838"/>
          <w:pgMar w:top="851" w:right="850" w:bottom="709" w:left="1701" w:header="720" w:footer="720" w:gutter="0"/>
          <w:cols w:space="720"/>
          <w:noEndnote/>
          <w:docGrid w:linePitch="381"/>
        </w:sectPr>
      </w:pPr>
      <w:r w:rsidRPr="005E39B7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изложен в таблице 2.</w:t>
      </w:r>
    </w:p>
    <w:p w:rsidR="00A34171" w:rsidRPr="00A34171" w:rsidRDefault="00A34171" w:rsidP="00A3417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 w:rsidR="005E39B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34171" w:rsidRDefault="00A34171" w:rsidP="0007055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муниципальной программы</w:t>
      </w:r>
    </w:p>
    <w:tbl>
      <w:tblPr>
        <w:tblStyle w:val="a3"/>
        <w:tblW w:w="14567" w:type="dxa"/>
        <w:tblLayout w:type="fixed"/>
        <w:tblLook w:val="04A0"/>
      </w:tblPr>
      <w:tblGrid>
        <w:gridCol w:w="559"/>
        <w:gridCol w:w="2810"/>
        <w:gridCol w:w="1842"/>
        <w:gridCol w:w="1560"/>
        <w:gridCol w:w="3118"/>
        <w:gridCol w:w="2552"/>
        <w:gridCol w:w="2126"/>
      </w:tblGrid>
      <w:tr w:rsidR="005E39B7" w:rsidTr="005E39B7">
        <w:trPr>
          <w:tblHeader/>
        </w:trPr>
        <w:tc>
          <w:tcPr>
            <w:tcW w:w="559" w:type="dxa"/>
          </w:tcPr>
          <w:p w:rsidR="005E39B7" w:rsidRP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E39B7" w:rsidRP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</w:tcPr>
          <w:p w:rsidR="005E39B7" w:rsidRPr="005E39B7" w:rsidRDefault="005E39B7" w:rsidP="005E3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5E39B7" w:rsidRP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60" w:type="dxa"/>
          </w:tcPr>
          <w:p w:rsidR="005E39B7" w:rsidRP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118" w:type="dxa"/>
          </w:tcPr>
          <w:p w:rsidR="005E39B7" w:rsidRP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в количественном измерении</w:t>
            </w:r>
          </w:p>
        </w:tc>
        <w:tc>
          <w:tcPr>
            <w:tcW w:w="2552" w:type="dxa"/>
          </w:tcPr>
          <w:p w:rsidR="005E39B7" w:rsidRPr="005E39B7" w:rsidRDefault="005E39B7" w:rsidP="005E3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последствия не реализации муниципальной программы </w:t>
            </w:r>
          </w:p>
        </w:tc>
        <w:tc>
          <w:tcPr>
            <w:tcW w:w="2126" w:type="dxa"/>
          </w:tcPr>
          <w:p w:rsidR="005E39B7" w:rsidRPr="005E39B7" w:rsidRDefault="005E39B7" w:rsidP="005E39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B7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муниципальной программы</w:t>
            </w:r>
          </w:p>
        </w:tc>
      </w:tr>
      <w:tr w:rsidR="005E39B7" w:rsidTr="005E39B7">
        <w:tc>
          <w:tcPr>
            <w:tcW w:w="559" w:type="dxa"/>
          </w:tcPr>
          <w:p w:rsid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0" w:type="dxa"/>
          </w:tcPr>
          <w:p w:rsidR="005E39B7" w:rsidRDefault="005E39B7" w:rsidP="000705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чрезвычайных ситуаций связанных с нарушением обеспечения населения муниципального района водой, электроэнергией, теплом.</w:t>
            </w:r>
          </w:p>
        </w:tc>
        <w:tc>
          <w:tcPr>
            <w:tcW w:w="1842" w:type="dxa"/>
          </w:tcPr>
          <w:p w:rsidR="005E39B7" w:rsidRPr="0043247A" w:rsidRDefault="005E39B7" w:rsidP="002A7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  <w:tc>
          <w:tcPr>
            <w:tcW w:w="1560" w:type="dxa"/>
          </w:tcPr>
          <w:p w:rsidR="005E39B7" w:rsidRDefault="005E39B7" w:rsidP="008D4F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3118" w:type="dxa"/>
          </w:tcPr>
          <w:p w:rsid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возникновения чрезвычайных ситуаций</w:t>
            </w:r>
          </w:p>
        </w:tc>
        <w:tc>
          <w:tcPr>
            <w:tcW w:w="2552" w:type="dxa"/>
          </w:tcPr>
          <w:p w:rsidR="005E39B7" w:rsidRDefault="00160D0C" w:rsidP="00160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могут привести к чрезвычайным происшествия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и как 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>людски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потер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126" w:type="dxa"/>
          </w:tcPr>
          <w:p w:rsidR="005E39B7" w:rsidRDefault="004031A4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</w:tr>
      <w:tr w:rsidR="005E39B7" w:rsidTr="005E39B7">
        <w:tc>
          <w:tcPr>
            <w:tcW w:w="559" w:type="dxa"/>
          </w:tcPr>
          <w:p w:rsid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0" w:type="dxa"/>
          </w:tcPr>
          <w:p w:rsidR="005E39B7" w:rsidRDefault="005E39B7" w:rsidP="00160D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материальных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</w:t>
            </w:r>
            <w:r w:rsidR="0016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 фонд ГОЧС и ПБ</w:t>
            </w:r>
          </w:p>
        </w:tc>
        <w:tc>
          <w:tcPr>
            <w:tcW w:w="1842" w:type="dxa"/>
          </w:tcPr>
          <w:p w:rsidR="005E39B7" w:rsidRPr="0043247A" w:rsidRDefault="005E39B7" w:rsidP="002A7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  <w:tc>
          <w:tcPr>
            <w:tcW w:w="1560" w:type="dxa"/>
          </w:tcPr>
          <w:p w:rsidR="005E39B7" w:rsidRDefault="005E39B7" w:rsidP="008D4F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20 - 2022</w:t>
            </w:r>
          </w:p>
        </w:tc>
        <w:tc>
          <w:tcPr>
            <w:tcW w:w="3118" w:type="dxa"/>
          </w:tcPr>
          <w:p w:rsidR="005E39B7" w:rsidRDefault="005E39B7" w:rsidP="00620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процента обеспеченности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резервного фонда материальными средствами, необходимыми для предотвращения ЧС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обеспечения населения водой, теплом, электроэнергией.</w:t>
            </w:r>
          </w:p>
        </w:tc>
        <w:tc>
          <w:tcPr>
            <w:tcW w:w="2552" w:type="dxa"/>
          </w:tcPr>
          <w:p w:rsidR="005E39B7" w:rsidRDefault="00160D0C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могут привести к чрезвычайным происшествия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и как 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>людски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потер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126" w:type="dxa"/>
          </w:tcPr>
          <w:p w:rsidR="005E39B7" w:rsidRDefault="00160D0C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</w:tr>
      <w:tr w:rsidR="005E39B7" w:rsidTr="005E39B7">
        <w:tc>
          <w:tcPr>
            <w:tcW w:w="559" w:type="dxa"/>
          </w:tcPr>
          <w:p w:rsid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0" w:type="dxa"/>
          </w:tcPr>
          <w:p w:rsidR="005E39B7" w:rsidRDefault="005E39B7" w:rsidP="00E35B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учебно-методических занятий с руководителями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«Октябрьский</w:t>
            </w: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участие в выездных семинарах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E39B7" w:rsidRPr="0043247A" w:rsidRDefault="005E39B7" w:rsidP="002A7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ГО и ЧС</w:t>
            </w:r>
          </w:p>
        </w:tc>
        <w:tc>
          <w:tcPr>
            <w:tcW w:w="1560" w:type="dxa"/>
          </w:tcPr>
          <w:p w:rsidR="005E39B7" w:rsidRDefault="005E39B7" w:rsidP="008D4F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20 - 2022</w:t>
            </w:r>
          </w:p>
        </w:tc>
        <w:tc>
          <w:tcPr>
            <w:tcW w:w="3118" w:type="dxa"/>
          </w:tcPr>
          <w:p w:rsidR="005E39B7" w:rsidRDefault="005E39B7" w:rsidP="002A76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знаний в области гражданской обороны, защиты населения и территории от чрезвычайных ситуаций мирного и военного времени</w:t>
            </w:r>
          </w:p>
        </w:tc>
        <w:tc>
          <w:tcPr>
            <w:tcW w:w="2552" w:type="dxa"/>
          </w:tcPr>
          <w:p w:rsidR="00160D0C" w:rsidRPr="00C44C85" w:rsidRDefault="00160D0C" w:rsidP="00160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навыков действий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 могут привести к ухудшению обстановки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и как 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>людски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4C85">
              <w:rPr>
                <w:rFonts w:ascii="Times New Roman" w:hAnsi="Times New Roman" w:cs="Times New Roman"/>
                <w:sz w:val="24"/>
                <w:szCs w:val="24"/>
              </w:rPr>
              <w:t xml:space="preserve"> потер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5E39B7" w:rsidRDefault="005E39B7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9B7" w:rsidRDefault="004031A4" w:rsidP="00A34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</w:tr>
    </w:tbl>
    <w:p w:rsidR="004031A4" w:rsidRDefault="004031A4" w:rsidP="002217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4031A4" w:rsidSect="00B34E5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3247A" w:rsidRPr="004031A4" w:rsidRDefault="00A34171" w:rsidP="00B34E5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43247A" w:rsidRPr="00403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Механизм реализации муниципальной программы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исполнителем за реализацию мероприятий Программы на территории </w:t>
      </w:r>
      <w:proofErr w:type="gramStart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является отдел по делам ГО и ЧС.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Программы ответственный исполнитель:</w:t>
      </w:r>
    </w:p>
    <w:p w:rsidR="0043247A" w:rsidRPr="0043247A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43247A"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разработку муниципальной программы, ее согласование и утверждение в установленном порядке;</w:t>
      </w:r>
    </w:p>
    <w:p w:rsidR="0043247A" w:rsidRPr="0043247A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43247A"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43247A" w:rsidRPr="0043247A" w:rsidRDefault="00CC5770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43247A"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в отдел экономики</w:t>
      </w:r>
      <w:r w:rsidR="00E34B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потребительского рынка, услуг и внешнеэкономических связей</w:t>
      </w:r>
      <w:r w:rsidR="0043247A"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муниципального района: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ежеквартальные отчеты - 15-го числа месяца, следующего за отч</w:t>
      </w:r>
      <w:r w:rsidR="009D0FE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кварталом;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ежегодный итоговый отчет о ходе и результатах реализации муниципальной программы - 1 февраля года, следующего за </w:t>
      </w:r>
      <w:proofErr w:type="gramStart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="009D0FE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proofErr w:type="gramEnd"/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в целом из бюджета </w:t>
      </w:r>
      <w:r w:rsidR="00CC577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</w:t>
      </w: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 Главным распорядителем бюджетных средств, выделяемых на реализацию Программы, является администрация муниципального района.</w:t>
      </w:r>
    </w:p>
    <w:p w:rsidR="0043247A" w:rsidRPr="0043247A" w:rsidRDefault="0043247A" w:rsidP="00CC5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7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за счет средств бюджета муниципального района осуществляется в пределах средств, предусмотренных Программой.</w:t>
      </w:r>
    </w:p>
    <w:p w:rsidR="00D26425" w:rsidRPr="00D26425" w:rsidRDefault="00070556" w:rsidP="00D2642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42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3247A" w:rsidRPr="00D2642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0FF9" w:rsidRPr="00D26425">
        <w:rPr>
          <w:rFonts w:ascii="Times New Roman" w:eastAsia="Times New Roman" w:hAnsi="Times New Roman" w:cs="Times New Roman"/>
          <w:b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4031A4" w:rsidRDefault="00CA0FF9" w:rsidP="00D2642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6425">
        <w:rPr>
          <w:rFonts w:ascii="Times New Roman" w:eastAsia="Times New Roman" w:hAnsi="Times New Roman" w:cs="Times New Roman"/>
          <w:sz w:val="24"/>
          <w:szCs w:val="24"/>
        </w:rPr>
        <w:t>Сводных показателей нет</w:t>
      </w:r>
    </w:p>
    <w:p w:rsidR="00D26425" w:rsidRPr="00D26425" w:rsidRDefault="00D26425" w:rsidP="00D2642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3247A" w:rsidRPr="00D26425" w:rsidRDefault="00CA0FF9" w:rsidP="00D2642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425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070556" w:rsidRPr="00D26425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</w:t>
      </w:r>
      <w:r w:rsidR="0043247A" w:rsidRPr="00D2642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tbl>
      <w:tblPr>
        <w:tblW w:w="9737" w:type="dxa"/>
        <w:tblCellSpacing w:w="5" w:type="nil"/>
        <w:tblInd w:w="-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08"/>
        <w:gridCol w:w="1418"/>
        <w:gridCol w:w="1275"/>
        <w:gridCol w:w="1134"/>
        <w:gridCol w:w="1134"/>
        <w:gridCol w:w="2268"/>
      </w:tblGrid>
      <w:tr w:rsidR="004031A4" w:rsidRPr="00D5576E" w:rsidTr="00D26425">
        <w:trPr>
          <w:trHeight w:val="400"/>
          <w:tblCellSpacing w:w="5" w:type="nil"/>
        </w:trPr>
        <w:tc>
          <w:tcPr>
            <w:tcW w:w="2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031A4" w:rsidRPr="00D5576E" w:rsidTr="00D26425">
        <w:trPr>
          <w:trHeight w:val="400"/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34E51" w:rsidRPr="00D5576E" w:rsidTr="00D26425">
        <w:trPr>
          <w:tblCellSpacing w:w="5" w:type="nil"/>
        </w:trPr>
        <w:tc>
          <w:tcPr>
            <w:tcW w:w="2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42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34E51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E51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E51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E51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НИОКР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D26425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1A4" w:rsidRPr="00D264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1A4" w:rsidRPr="00D5576E" w:rsidTr="00D26425">
        <w:trPr>
          <w:tblCellSpacing w:w="5" w:type="nil"/>
        </w:trPr>
        <w:tc>
          <w:tcPr>
            <w:tcW w:w="2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A4" w:rsidRPr="00D26425" w:rsidRDefault="004031A4" w:rsidP="00D264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6425" w:rsidRPr="00D26425" w:rsidRDefault="00D26425" w:rsidP="00D264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425">
        <w:rPr>
          <w:rFonts w:ascii="Times New Roman" w:hAnsi="Times New Roman" w:cs="Times New Roman"/>
          <w:sz w:val="24"/>
          <w:szCs w:val="24"/>
        </w:rPr>
        <w:t>Ресурсное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6425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6425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42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425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425">
        <w:rPr>
          <w:rFonts w:ascii="Times New Roman" w:hAnsi="Times New Roman" w:cs="Times New Roman"/>
          <w:sz w:val="24"/>
          <w:szCs w:val="24"/>
        </w:rPr>
        <w:t xml:space="preserve">изложено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26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25" w:rsidRDefault="00D26425" w:rsidP="00F675A3">
      <w:pPr>
        <w:pStyle w:val="a8"/>
        <w:rPr>
          <w:rFonts w:ascii="Times New Roman" w:hAnsi="Times New Roman" w:cs="Times New Roman"/>
          <w:sz w:val="24"/>
          <w:szCs w:val="24"/>
        </w:rPr>
        <w:sectPr w:rsidR="00D26425" w:rsidSect="00B34E51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таблице </w:t>
      </w:r>
      <w:r w:rsidRPr="00D26425">
        <w:rPr>
          <w:rFonts w:ascii="Times New Roman" w:hAnsi="Times New Roman" w:cs="Times New Roman"/>
          <w:sz w:val="24"/>
          <w:szCs w:val="24"/>
        </w:rPr>
        <w:t>3</w:t>
      </w:r>
    </w:p>
    <w:p w:rsidR="00C519E6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5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="004031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pPr w:leftFromText="180" w:rightFromText="180" w:vertAnchor="text" w:horzAnchor="margin" w:tblpXSpec="center" w:tblpY="18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985"/>
        <w:gridCol w:w="850"/>
        <w:gridCol w:w="851"/>
        <w:gridCol w:w="1417"/>
        <w:gridCol w:w="851"/>
        <w:gridCol w:w="850"/>
        <w:gridCol w:w="851"/>
        <w:gridCol w:w="850"/>
      </w:tblGrid>
      <w:tr w:rsidR="00F675A3" w:rsidRPr="001E44BA" w:rsidTr="00F675A3">
        <w:tc>
          <w:tcPr>
            <w:tcW w:w="675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3118" w:type="dxa"/>
            <w:gridSpan w:val="3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402" w:type="dxa"/>
            <w:gridSpan w:val="4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F675A3" w:rsidRPr="001E44BA" w:rsidTr="00F675A3">
        <w:tc>
          <w:tcPr>
            <w:tcW w:w="675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4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 на территории Октябрьского муниципального района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97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9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</w:tr>
      <w:tr w:rsidR="00F675A3" w:rsidRPr="001E44BA" w:rsidTr="00F675A3">
        <w:tc>
          <w:tcPr>
            <w:tcW w:w="67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 мероприятия администрации Октябрьского муниципального района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F675A3" w:rsidRPr="00F675A3" w:rsidRDefault="00C971D9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5A3" w:rsidRPr="001E44BA" w:rsidTr="00F675A3">
        <w:tc>
          <w:tcPr>
            <w:tcW w:w="675" w:type="dxa"/>
            <w:vMerge w:val="restart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материальных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езервный фонд ГОЧС и ПБ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75A3" w:rsidRPr="00F675A3" w:rsidRDefault="00C971D9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75A3" w:rsidRPr="00F675A3" w:rsidRDefault="00F675A3" w:rsidP="00C971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75A3" w:rsidRPr="001E44BA" w:rsidTr="00F675A3">
        <w:tc>
          <w:tcPr>
            <w:tcW w:w="675" w:type="dxa"/>
            <w:vMerge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5A3" w:rsidRPr="001E44BA" w:rsidTr="00F675A3">
        <w:tc>
          <w:tcPr>
            <w:tcW w:w="675" w:type="dxa"/>
            <w:vMerge w:val="restart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чрезвычайных ситуаций связанных с нарушением обеспечения населения муниципального района водой, электроэнергией, теплом.</w:t>
            </w: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2000100030</w:t>
            </w:r>
          </w:p>
        </w:tc>
        <w:tc>
          <w:tcPr>
            <w:tcW w:w="851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75A3" w:rsidRPr="00F675A3" w:rsidRDefault="00C971D9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5A3" w:rsidRPr="00F675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75A3" w:rsidRPr="001E44BA" w:rsidTr="00F675A3">
        <w:tc>
          <w:tcPr>
            <w:tcW w:w="675" w:type="dxa"/>
            <w:vMerge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675A3" w:rsidRPr="00F675A3" w:rsidRDefault="00F675A3" w:rsidP="00F675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5A3" w:rsidRDefault="00F675A3" w:rsidP="00F675A3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1D9" w:rsidRDefault="00C971D9" w:rsidP="00C971D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71D9" w:rsidSect="00B34E5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3247A" w:rsidRPr="00C971D9" w:rsidRDefault="00C519E6" w:rsidP="002217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CA0FF9" w:rsidRPr="00C9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3247A" w:rsidRPr="00C971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Методика оценки эффективности реализации муниципальной программы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степени выполнения запланированных мероприятий;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 за счет средств местного  бюджета;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степени эффективности использования средств местного бюджета;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C971D9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C971D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1) оценка степени реализации запланированных мероприятий;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2) оценка степени соответствия запланированному уровню затрат за счет средств местного бюджета;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>3) оценка степени достижения целевого показателя (индикатора) муниципальной программы.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1D9">
        <w:rPr>
          <w:rFonts w:ascii="Times New Roman" w:hAnsi="Times New Roman" w:cs="Times New Roman"/>
          <w:sz w:val="24"/>
          <w:szCs w:val="24"/>
        </w:rPr>
        <w:t xml:space="preserve">Оценка степени реализации запланированных мероприятий </w:t>
      </w:r>
      <w:proofErr w:type="spellStart"/>
      <w:r w:rsidRPr="00B34E51">
        <w:rPr>
          <w:rFonts w:ascii="Times New Roman" w:hAnsi="Times New Roman" w:cs="Times New Roman"/>
          <w:sz w:val="32"/>
          <w:szCs w:val="32"/>
        </w:rPr>
        <w:t>СР</w:t>
      </w:r>
      <w:r w:rsidRPr="00B34E51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Pr="00C971D9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C971D9" w:rsidRPr="00C971D9" w:rsidRDefault="00C971D9" w:rsidP="00C971D9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71D9">
        <w:rPr>
          <w:rFonts w:ascii="Times New Roman" w:hAnsi="Times New Roman" w:cs="Times New Roman"/>
          <w:sz w:val="32"/>
          <w:szCs w:val="32"/>
        </w:rPr>
        <w:t>СР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М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в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/ М,</w:t>
      </w:r>
    </w:p>
    <w:p w:rsidR="00C971D9" w:rsidRPr="00C971D9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D9">
        <w:rPr>
          <w:rFonts w:ascii="Times New Roman" w:hAnsi="Times New Roman" w:cs="Times New Roman"/>
          <w:sz w:val="28"/>
          <w:szCs w:val="28"/>
        </w:rPr>
        <w:t>где: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C971D9">
        <w:rPr>
          <w:rFonts w:ascii="Times New Roman" w:hAnsi="Times New Roman" w:cs="Times New Roman"/>
          <w:sz w:val="32"/>
          <w:szCs w:val="32"/>
        </w:rPr>
        <w:t>СР</w:t>
      </w:r>
      <w:r w:rsidR="00C971D9" w:rsidRPr="00C971D9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="00C971D9" w:rsidRPr="00C971D9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C971D9">
        <w:rPr>
          <w:rFonts w:ascii="Times New Roman" w:hAnsi="Times New Roman" w:cs="Times New Roman"/>
          <w:sz w:val="32"/>
          <w:szCs w:val="32"/>
        </w:rPr>
        <w:t>М</w:t>
      </w:r>
      <w:r w:rsidR="00C971D9" w:rsidRPr="00C971D9">
        <w:rPr>
          <w:rFonts w:ascii="Times New Roman" w:hAnsi="Times New Roman" w:cs="Times New Roman"/>
          <w:sz w:val="32"/>
          <w:szCs w:val="32"/>
          <w:vertAlign w:val="subscript"/>
        </w:rPr>
        <w:t>в</w:t>
      </w:r>
      <w:proofErr w:type="spellEnd"/>
      <w:r w:rsidR="00C971D9" w:rsidRPr="00C971D9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971D9" w:rsidRPr="00C971D9">
        <w:rPr>
          <w:rFonts w:ascii="Times New Roman" w:hAnsi="Times New Roman" w:cs="Times New Roman"/>
          <w:sz w:val="32"/>
          <w:szCs w:val="32"/>
        </w:rPr>
        <w:t>М</w:t>
      </w:r>
      <w:r w:rsidR="00C971D9" w:rsidRPr="00C971D9">
        <w:rPr>
          <w:rFonts w:ascii="Times New Roman" w:hAnsi="Times New Roman" w:cs="Times New Roman"/>
        </w:rPr>
        <w:t xml:space="preserve"> - общее количество мероприятий, запланированных к реализации в отчетном году.</w:t>
      </w:r>
    </w:p>
    <w:p w:rsidR="00C971D9" w:rsidRPr="00C971D9" w:rsidRDefault="00C971D9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71D9">
        <w:rPr>
          <w:rFonts w:ascii="Times New Roman" w:hAnsi="Times New Roman" w:cs="Times New Roman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СС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Pr="00C971D9">
        <w:rPr>
          <w:rFonts w:ascii="Times New Roman" w:hAnsi="Times New Roman" w:cs="Times New Roman"/>
        </w:rPr>
        <w:t xml:space="preserve"> рассчитывается по формуле:</w:t>
      </w:r>
    </w:p>
    <w:p w:rsidR="00C971D9" w:rsidRPr="00C971D9" w:rsidRDefault="00C971D9" w:rsidP="00C971D9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71D9">
        <w:rPr>
          <w:rFonts w:ascii="Times New Roman" w:hAnsi="Times New Roman" w:cs="Times New Roman"/>
          <w:sz w:val="32"/>
          <w:szCs w:val="32"/>
        </w:rPr>
        <w:t>СС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З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З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п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>,</w:t>
      </w:r>
    </w:p>
    <w:p w:rsidR="00C971D9" w:rsidRPr="00C971D9" w:rsidRDefault="00C971D9" w:rsidP="00C971D9">
      <w:pPr>
        <w:pStyle w:val="a8"/>
        <w:jc w:val="both"/>
        <w:rPr>
          <w:rFonts w:ascii="Times New Roman" w:hAnsi="Times New Roman" w:cs="Times New Roman"/>
        </w:rPr>
      </w:pPr>
      <w:r w:rsidRPr="00C971D9">
        <w:rPr>
          <w:rFonts w:ascii="Times New Roman" w:hAnsi="Times New Roman" w:cs="Times New Roman"/>
        </w:rPr>
        <w:t>где: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C971D9">
        <w:rPr>
          <w:rFonts w:ascii="Times New Roman" w:hAnsi="Times New Roman" w:cs="Times New Roman"/>
          <w:sz w:val="32"/>
          <w:szCs w:val="32"/>
        </w:rPr>
        <w:t>СС</w:t>
      </w:r>
      <w:r w:rsidR="00C971D9" w:rsidRPr="00C971D9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="00C971D9" w:rsidRPr="00C971D9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C971D9">
        <w:rPr>
          <w:rFonts w:ascii="Times New Roman" w:hAnsi="Times New Roman" w:cs="Times New Roman"/>
          <w:sz w:val="32"/>
          <w:szCs w:val="32"/>
        </w:rPr>
        <w:t>З</w:t>
      </w:r>
      <w:r w:rsidR="00C971D9" w:rsidRPr="00C971D9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proofErr w:type="spellEnd"/>
      <w:r w:rsidR="00C971D9" w:rsidRPr="00C971D9">
        <w:rPr>
          <w:rFonts w:ascii="Times New Roman" w:hAnsi="Times New Roman" w:cs="Times New Roman"/>
          <w:sz w:val="32"/>
          <w:szCs w:val="32"/>
        </w:rPr>
        <w:t xml:space="preserve"> </w:t>
      </w:r>
      <w:r w:rsidR="00C971D9" w:rsidRPr="00C971D9">
        <w:rPr>
          <w:rFonts w:ascii="Times New Roman" w:hAnsi="Times New Roman" w:cs="Times New Roman"/>
        </w:rPr>
        <w:t>- фактические расходы на реализацию программы в отчетном году;</w:t>
      </w:r>
    </w:p>
    <w:p w:rsidR="00C971D9" w:rsidRPr="00C971D9" w:rsidRDefault="00B34E51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C971D9">
        <w:rPr>
          <w:rFonts w:ascii="Times New Roman" w:hAnsi="Times New Roman" w:cs="Times New Roman"/>
          <w:sz w:val="32"/>
          <w:szCs w:val="32"/>
        </w:rPr>
        <w:t>З</w:t>
      </w:r>
      <w:r w:rsidR="00C971D9" w:rsidRPr="00C971D9">
        <w:rPr>
          <w:rFonts w:ascii="Times New Roman" w:hAnsi="Times New Roman" w:cs="Times New Roman"/>
          <w:sz w:val="32"/>
          <w:szCs w:val="32"/>
          <w:vertAlign w:val="subscript"/>
        </w:rPr>
        <w:t>п</w:t>
      </w:r>
      <w:proofErr w:type="spellEnd"/>
      <w:r w:rsidR="00C971D9" w:rsidRPr="00C971D9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C971D9" w:rsidRPr="00C971D9" w:rsidRDefault="00C971D9" w:rsidP="00C971D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971D9">
        <w:rPr>
          <w:rFonts w:ascii="Times New Roman" w:hAnsi="Times New Roman" w:cs="Times New Roman"/>
        </w:rPr>
        <w:t xml:space="preserve">Оценка степени достижения целевых показателей (индикаторов) муниципальной программы </w:t>
      </w:r>
      <w:r w:rsidRPr="00C971D9">
        <w:rPr>
          <w:rFonts w:ascii="Times New Roman" w:hAnsi="Times New Roman" w:cs="Times New Roman"/>
          <w:sz w:val="32"/>
          <w:szCs w:val="32"/>
        </w:rPr>
        <w:t>СД</w:t>
      </w:r>
      <w:r w:rsidRPr="00C971D9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r w:rsidRPr="00C971D9">
        <w:rPr>
          <w:rFonts w:ascii="Times New Roman" w:hAnsi="Times New Roman" w:cs="Times New Roman"/>
        </w:rPr>
        <w:t>, желаемой тенденцией развития которых является увеличение значений, рассчитывается по формуле:</w:t>
      </w:r>
    </w:p>
    <w:p w:rsidR="00C971D9" w:rsidRPr="00C971D9" w:rsidRDefault="00C971D9" w:rsidP="00C971D9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ЗП</w:t>
      </w:r>
      <w:r w:rsidRPr="00C971D9">
        <w:rPr>
          <w:rFonts w:ascii="Times New Roman" w:hAnsi="Times New Roman" w:cs="Times New Roman"/>
        </w:rPr>
        <w:t>ф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/ЗП</w:t>
      </w:r>
      <w:proofErr w:type="gramStart"/>
      <w:r w:rsidRPr="00C971D9">
        <w:rPr>
          <w:rFonts w:ascii="Times New Roman" w:hAnsi="Times New Roman" w:cs="Times New Roman"/>
          <w:lang w:val="en-US"/>
        </w:rPr>
        <w:t>n</w:t>
      </w:r>
      <w:proofErr w:type="gramEnd"/>
      <w:r w:rsidRPr="00C971D9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Pr="00C971D9">
        <w:rPr>
          <w:rFonts w:ascii="Times New Roman" w:hAnsi="Times New Roman" w:cs="Times New Roman"/>
          <w:sz w:val="32"/>
          <w:szCs w:val="32"/>
        </w:rPr>
        <w:t>ЗП</w:t>
      </w:r>
      <w:r w:rsidRPr="00C971D9">
        <w:rPr>
          <w:rFonts w:ascii="Times New Roman" w:hAnsi="Times New Roman" w:cs="Times New Roman"/>
        </w:rPr>
        <w:t>ф</w:t>
      </w:r>
      <w:r w:rsidRPr="00C971D9">
        <w:rPr>
          <w:rFonts w:ascii="Times New Roman" w:hAnsi="Times New Roman" w:cs="Times New Roman"/>
          <w:lang w:val="en-US"/>
        </w:rPr>
        <w:t>i</w:t>
      </w:r>
      <w:proofErr w:type="spellEnd"/>
      <w:r w:rsidRPr="00C971D9">
        <w:rPr>
          <w:rFonts w:ascii="Times New Roman" w:hAnsi="Times New Roman" w:cs="Times New Roman"/>
          <w:sz w:val="32"/>
          <w:szCs w:val="32"/>
        </w:rPr>
        <w:t xml:space="preserve"> / ЗП</w:t>
      </w:r>
      <w:proofErr w:type="spellStart"/>
      <w:r w:rsidRPr="00C971D9">
        <w:rPr>
          <w:rFonts w:ascii="Times New Roman" w:hAnsi="Times New Roman" w:cs="Times New Roman"/>
          <w:lang w:val="en-US"/>
        </w:rPr>
        <w:t>ni</w:t>
      </w:r>
      <w:proofErr w:type="spellEnd"/>
    </w:p>
    <w:p w:rsidR="00C971D9" w:rsidRPr="00C971D9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71D9">
        <w:rPr>
          <w:rFonts w:ascii="Times New Roman" w:hAnsi="Times New Roman" w:cs="Times New Roman"/>
          <w:sz w:val="32"/>
          <w:szCs w:val="32"/>
        </w:rPr>
        <w:t>СД</w:t>
      </w:r>
      <w:r w:rsidRPr="00C971D9">
        <w:rPr>
          <w:rFonts w:ascii="Times New Roman" w:hAnsi="Times New Roman" w:cs="Times New Roman"/>
          <w:sz w:val="24"/>
          <w:szCs w:val="24"/>
        </w:rPr>
        <w:t>цп</w:t>
      </w:r>
      <w:proofErr w:type="spellEnd"/>
      <w:r w:rsidRPr="00C971D9">
        <w:rPr>
          <w:rFonts w:ascii="Times New Roman" w:hAnsi="Times New Roman" w:cs="Times New Roman"/>
          <w:sz w:val="28"/>
          <w:szCs w:val="28"/>
        </w:rPr>
        <w:t xml:space="preserve"> = -----------------------------------</w:t>
      </w:r>
    </w:p>
    <w:p w:rsidR="00C971D9" w:rsidRPr="00C971D9" w:rsidRDefault="00C971D9" w:rsidP="00C971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71D9">
        <w:rPr>
          <w:rFonts w:ascii="Times New Roman" w:hAnsi="Times New Roman" w:cs="Times New Roman"/>
          <w:sz w:val="32"/>
          <w:szCs w:val="32"/>
        </w:rPr>
        <w:t>К</w:t>
      </w:r>
      <w:proofErr w:type="spellStart"/>
      <w:proofErr w:type="gramStart"/>
      <w:r w:rsidRPr="00C971D9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proofErr w:type="gramEnd"/>
    </w:p>
    <w:p w:rsidR="00B34E51" w:rsidRDefault="00B34E51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1D9" w:rsidRPr="00C971D9" w:rsidRDefault="00C971D9" w:rsidP="00B34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D9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C971D9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C971D9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C971D9" w:rsidRPr="00C971D9" w:rsidRDefault="00C971D9" w:rsidP="00B34E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71D9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>
            <wp:extent cx="2874010" cy="641350"/>
            <wp:effectExtent l="0" t="0" r="254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D9" w:rsidRPr="00E23BB5" w:rsidRDefault="00C971D9" w:rsidP="00C97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>где: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СД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ЗП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значение целевого показателя (индикатора), фактически достигнутое на конец отчетного года;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ЗП</w:t>
      </w:r>
      <w:r w:rsidR="00C971D9" w:rsidRPr="00E23BB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плановое значение целевого показателя (индикатора);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ЗП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proofErr w:type="gramStart"/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proofErr w:type="gram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значение </w:t>
      </w:r>
      <w:proofErr w:type="spellStart"/>
      <w:r w:rsidR="00C971D9" w:rsidRPr="00E23B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(индикатора), фактически достигнутое на конец отчетного года;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ЗП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п</w:t>
      </w:r>
      <w:proofErr w:type="gramStart"/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proofErr w:type="gramEnd"/>
      <w:r w:rsidR="00C971D9" w:rsidRPr="00E23BB5">
        <w:rPr>
          <w:rFonts w:ascii="Times New Roman" w:hAnsi="Times New Roman" w:cs="Times New Roman"/>
          <w:sz w:val="32"/>
          <w:szCs w:val="32"/>
        </w:rPr>
        <w:t xml:space="preserve"> </w:t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- плановое значение </w:t>
      </w:r>
      <w:proofErr w:type="spellStart"/>
      <w:r w:rsidR="00C971D9" w:rsidRPr="00E23B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i</w:t>
      </w:r>
      <w:proofErr w:type="spellEnd"/>
      <w:proofErr w:type="gram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 программы.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971D9" w:rsidRPr="00E23BB5" w:rsidRDefault="00C971D9" w:rsidP="00B34E5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ЭР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гп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= 0,5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СД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+ 0,3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СС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+ 0,2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x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СР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>,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где: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ЭР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гп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интегральная оценка эффективности реализации муниципальных программ;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СД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(индикатора) муниципальной  программы;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СС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 за счет средств местного бюджета;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СР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м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</w:t>
      </w:r>
      <w:r w:rsidR="00C971D9" w:rsidRPr="00E23BB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ЭР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гп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>)</w:t>
      </w:r>
      <w:r w:rsidRPr="00E23BB5">
        <w:rPr>
          <w:rFonts w:ascii="Times New Roman" w:hAnsi="Times New Roman" w:cs="Times New Roman"/>
          <w:sz w:val="24"/>
          <w:szCs w:val="24"/>
        </w:rPr>
        <w:t xml:space="preserve"> </w:t>
      </w:r>
      <w:r w:rsidR="00C971D9" w:rsidRPr="00E23BB5">
        <w:rPr>
          <w:rFonts w:ascii="Times New Roman" w:hAnsi="Times New Roman" w:cs="Times New Roman"/>
          <w:sz w:val="24"/>
          <w:szCs w:val="24"/>
        </w:rPr>
        <w:t>составляет не менее 0,90.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</w:t>
      </w:r>
      <w:r w:rsidR="00C971D9" w:rsidRPr="00E23BB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ЭР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гп</w:t>
      </w:r>
      <w:proofErr w:type="spellEnd"/>
      <w:r w:rsidR="00C971D9" w:rsidRPr="00E23BB5">
        <w:rPr>
          <w:rFonts w:ascii="Times New Roman" w:hAnsi="Times New Roman" w:cs="Times New Roman"/>
          <w:sz w:val="32"/>
          <w:szCs w:val="32"/>
        </w:rPr>
        <w:t>)</w:t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</w:t>
      </w:r>
      <w:r w:rsidR="00C971D9" w:rsidRPr="00E23BB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ЭР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гп</w:t>
      </w:r>
      <w:proofErr w:type="spellEnd"/>
      <w:r w:rsidR="00C971D9" w:rsidRPr="00E23BB5">
        <w:rPr>
          <w:rFonts w:ascii="Times New Roman" w:hAnsi="Times New Roman" w:cs="Times New Roman"/>
          <w:sz w:val="32"/>
          <w:szCs w:val="32"/>
        </w:rPr>
        <w:t xml:space="preserve">) </w:t>
      </w:r>
      <w:r w:rsidR="00C971D9" w:rsidRPr="00E23BB5">
        <w:rPr>
          <w:rFonts w:ascii="Times New Roman" w:hAnsi="Times New Roman" w:cs="Times New Roman"/>
          <w:sz w:val="24"/>
          <w:szCs w:val="24"/>
        </w:rPr>
        <w:t>составляет не менее 0,70.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="00C971D9" w:rsidRPr="00E23BB5">
        <w:rPr>
          <w:rFonts w:ascii="Times New Roman" w:hAnsi="Times New Roman" w:cs="Times New Roman"/>
          <w:sz w:val="24"/>
          <w:szCs w:val="24"/>
        </w:rPr>
        <w:t>итогов оценки эффективности реализации муниципальных программ</w:t>
      </w:r>
      <w:proofErr w:type="gramEnd"/>
      <w:r w:rsidR="00C971D9" w:rsidRPr="00E23BB5">
        <w:rPr>
          <w:rFonts w:ascii="Times New Roman" w:hAnsi="Times New Roman" w:cs="Times New Roman"/>
          <w:sz w:val="24"/>
          <w:szCs w:val="24"/>
        </w:rPr>
        <w:t>.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="00C971D9" w:rsidRPr="00E23BB5">
        <w:rPr>
          <w:rFonts w:ascii="Times New Roman" w:hAnsi="Times New Roman" w:cs="Times New Roman"/>
          <w:sz w:val="24"/>
          <w:szCs w:val="24"/>
        </w:rPr>
        <w:t>степени эффективности использования средств местного бюджета</w:t>
      </w:r>
      <w:proofErr w:type="gram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об</w:t>
      </w:r>
      <w:proofErr w:type="spellEnd"/>
      <w:r w:rsidR="00C971D9" w:rsidRPr="00E23BB5">
        <w:rPr>
          <w:rFonts w:ascii="Times New Roman" w:hAnsi="Times New Roman" w:cs="Times New Roman"/>
          <w:sz w:val="32"/>
          <w:szCs w:val="32"/>
        </w:rPr>
        <w:t xml:space="preserve"> </w:t>
      </w:r>
      <w:r w:rsidR="00C971D9" w:rsidRPr="00E23BB5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C971D9" w:rsidRPr="00E23BB5" w:rsidRDefault="00C971D9" w:rsidP="00B34E5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Э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об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СД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E23BB5">
        <w:rPr>
          <w:rFonts w:ascii="Times New Roman" w:hAnsi="Times New Roman" w:cs="Times New Roman"/>
          <w:sz w:val="32"/>
          <w:szCs w:val="32"/>
        </w:rPr>
        <w:t>СС</w:t>
      </w:r>
      <w:r w:rsidRPr="00E23BB5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Pr="00E23BB5">
        <w:rPr>
          <w:rFonts w:ascii="Times New Roman" w:hAnsi="Times New Roman" w:cs="Times New Roman"/>
          <w:sz w:val="32"/>
          <w:szCs w:val="32"/>
        </w:rPr>
        <w:t>,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где: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Э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об</w:t>
      </w:r>
      <w:proofErr w:type="spellEnd"/>
      <w:r w:rsidR="00C971D9" w:rsidRPr="00E23BB5">
        <w:rPr>
          <w:rFonts w:ascii="Times New Roman" w:hAnsi="Times New Roman" w:cs="Times New Roman"/>
          <w:sz w:val="32"/>
          <w:szCs w:val="32"/>
        </w:rPr>
        <w:t xml:space="preserve"> </w:t>
      </w:r>
      <w:r w:rsidR="00C971D9" w:rsidRPr="00E23BB5">
        <w:rPr>
          <w:rFonts w:ascii="Times New Roman" w:hAnsi="Times New Roman" w:cs="Times New Roman"/>
          <w:sz w:val="24"/>
          <w:szCs w:val="24"/>
        </w:rPr>
        <w:t>- эффективность использования средств местного бюджета;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СД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цп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достижения целевого показателя (индикатора) муниципальной программы;</w:t>
      </w:r>
    </w:p>
    <w:p w:rsidR="00C971D9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71D9" w:rsidRPr="00E23BB5">
        <w:rPr>
          <w:rFonts w:ascii="Times New Roman" w:hAnsi="Times New Roman" w:cs="Times New Roman"/>
          <w:sz w:val="32"/>
          <w:szCs w:val="32"/>
        </w:rPr>
        <w:t>СС</w:t>
      </w:r>
      <w:r w:rsidR="00C971D9" w:rsidRPr="00E23BB5">
        <w:rPr>
          <w:rFonts w:ascii="Times New Roman" w:hAnsi="Times New Roman" w:cs="Times New Roman"/>
          <w:sz w:val="32"/>
          <w:szCs w:val="32"/>
          <w:vertAlign w:val="subscript"/>
        </w:rPr>
        <w:t>уз</w:t>
      </w:r>
      <w:proofErr w:type="spellEnd"/>
      <w:r w:rsidR="00C971D9" w:rsidRPr="00E23BB5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 за счет средств местного бюджета.</w:t>
      </w:r>
    </w:p>
    <w:p w:rsidR="00E23BB5" w:rsidRPr="00E23BB5" w:rsidRDefault="00B34E51" w:rsidP="00C971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BB5">
        <w:rPr>
          <w:rFonts w:ascii="Times New Roman" w:hAnsi="Times New Roman" w:cs="Times New Roman"/>
          <w:sz w:val="24"/>
          <w:szCs w:val="24"/>
        </w:rPr>
        <w:tab/>
      </w:r>
      <w:r w:rsidR="00C971D9" w:rsidRPr="00E23BB5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</w:t>
      </w:r>
      <w:proofErr w:type="gramStart"/>
      <w:r w:rsidR="004E746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A76F1" w:rsidRPr="004044A7" w:rsidRDefault="00E23BB5" w:rsidP="002A76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A76F1" w:rsidRPr="004044A7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2A76F1" w:rsidRPr="004044A7" w:rsidRDefault="002A76F1" w:rsidP="002A76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hAnsi="Times New Roman" w:cs="Times New Roman"/>
          <w:sz w:val="28"/>
          <w:szCs w:val="28"/>
        </w:rPr>
        <w:tab/>
        <w:t>3</w:t>
      </w:r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044A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A76F1" w:rsidRPr="004044A7" w:rsidRDefault="002A76F1" w:rsidP="002A76F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опубликования.  </w:t>
      </w:r>
    </w:p>
    <w:p w:rsidR="002A76F1" w:rsidRPr="004044A7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Pr="004044A7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Pr="004044A7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Pr="004044A7" w:rsidRDefault="002A76F1" w:rsidP="002A76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A76F1" w:rsidRPr="004044A7" w:rsidRDefault="002A76F1" w:rsidP="002A76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4044A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A7">
        <w:rPr>
          <w:rFonts w:ascii="Times New Roman" w:eastAsia="Times New Roman" w:hAnsi="Times New Roman" w:cs="Times New Roman"/>
          <w:sz w:val="28"/>
          <w:szCs w:val="28"/>
        </w:rPr>
        <w:tab/>
      </w:r>
      <w:r w:rsidR="00E23BB5" w:rsidRPr="004044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044A7">
        <w:rPr>
          <w:rFonts w:ascii="Times New Roman" w:eastAsia="Times New Roman" w:hAnsi="Times New Roman" w:cs="Times New Roman"/>
          <w:sz w:val="28"/>
          <w:szCs w:val="28"/>
        </w:rPr>
        <w:t xml:space="preserve">М.Ю. Леонова </w:t>
      </w:r>
    </w:p>
    <w:p w:rsidR="002A76F1" w:rsidRPr="004044A7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Default="002A76F1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BB5" w:rsidRDefault="00E23BB5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BB5" w:rsidRDefault="00E23BB5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BB5" w:rsidRDefault="00E23BB5" w:rsidP="002A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6F1" w:rsidRDefault="002A76F1" w:rsidP="002A76F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2A76F1" w:rsidRPr="00E23BB5" w:rsidRDefault="002A76F1" w:rsidP="002A76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35BCF" w:rsidRPr="00E23BB5" w:rsidRDefault="00735BCF" w:rsidP="00C9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5BCF" w:rsidRPr="00E23BB5" w:rsidSect="00B34E5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7A"/>
    <w:rsid w:val="00002057"/>
    <w:rsid w:val="0005041C"/>
    <w:rsid w:val="00070556"/>
    <w:rsid w:val="000E067F"/>
    <w:rsid w:val="0011371F"/>
    <w:rsid w:val="00160D0C"/>
    <w:rsid w:val="001A762D"/>
    <w:rsid w:val="001B39F3"/>
    <w:rsid w:val="001D6CDE"/>
    <w:rsid w:val="00213D09"/>
    <w:rsid w:val="0022171C"/>
    <w:rsid w:val="002524D0"/>
    <w:rsid w:val="002A410A"/>
    <w:rsid w:val="002A76F1"/>
    <w:rsid w:val="002B196C"/>
    <w:rsid w:val="002B567A"/>
    <w:rsid w:val="002B715E"/>
    <w:rsid w:val="002E3295"/>
    <w:rsid w:val="00315709"/>
    <w:rsid w:val="00331534"/>
    <w:rsid w:val="00376B08"/>
    <w:rsid w:val="003C08B1"/>
    <w:rsid w:val="004031A4"/>
    <w:rsid w:val="004044A7"/>
    <w:rsid w:val="0042014D"/>
    <w:rsid w:val="0043247A"/>
    <w:rsid w:val="00437058"/>
    <w:rsid w:val="00446326"/>
    <w:rsid w:val="004E6461"/>
    <w:rsid w:val="004E7464"/>
    <w:rsid w:val="005370E1"/>
    <w:rsid w:val="00543DA5"/>
    <w:rsid w:val="00546ACD"/>
    <w:rsid w:val="0058555D"/>
    <w:rsid w:val="005E39B7"/>
    <w:rsid w:val="005E5FF4"/>
    <w:rsid w:val="00620064"/>
    <w:rsid w:val="00630554"/>
    <w:rsid w:val="006E61B0"/>
    <w:rsid w:val="0071533A"/>
    <w:rsid w:val="00735BCF"/>
    <w:rsid w:val="00752E2B"/>
    <w:rsid w:val="0075342E"/>
    <w:rsid w:val="00774B8C"/>
    <w:rsid w:val="007A4CFB"/>
    <w:rsid w:val="008045FA"/>
    <w:rsid w:val="008D4F34"/>
    <w:rsid w:val="009103A2"/>
    <w:rsid w:val="00920D05"/>
    <w:rsid w:val="009410D2"/>
    <w:rsid w:val="00963CBA"/>
    <w:rsid w:val="009D0FEC"/>
    <w:rsid w:val="00A34171"/>
    <w:rsid w:val="00A60D99"/>
    <w:rsid w:val="00AF1978"/>
    <w:rsid w:val="00B07BC4"/>
    <w:rsid w:val="00B34E51"/>
    <w:rsid w:val="00BA6B21"/>
    <w:rsid w:val="00BB7C47"/>
    <w:rsid w:val="00BC4FCE"/>
    <w:rsid w:val="00BE3D69"/>
    <w:rsid w:val="00BF5007"/>
    <w:rsid w:val="00C1775D"/>
    <w:rsid w:val="00C519E6"/>
    <w:rsid w:val="00C60E8C"/>
    <w:rsid w:val="00C971D9"/>
    <w:rsid w:val="00CA0FF9"/>
    <w:rsid w:val="00CA28B4"/>
    <w:rsid w:val="00CC5770"/>
    <w:rsid w:val="00CD11AB"/>
    <w:rsid w:val="00CE29DF"/>
    <w:rsid w:val="00CF2BF1"/>
    <w:rsid w:val="00D16C51"/>
    <w:rsid w:val="00D26425"/>
    <w:rsid w:val="00D37BDE"/>
    <w:rsid w:val="00D951D2"/>
    <w:rsid w:val="00DA6CA6"/>
    <w:rsid w:val="00DB0FB3"/>
    <w:rsid w:val="00DE3EA1"/>
    <w:rsid w:val="00E03ACF"/>
    <w:rsid w:val="00E06271"/>
    <w:rsid w:val="00E23BB5"/>
    <w:rsid w:val="00E34BA5"/>
    <w:rsid w:val="00E356FB"/>
    <w:rsid w:val="00E35B25"/>
    <w:rsid w:val="00E62DF4"/>
    <w:rsid w:val="00E63A13"/>
    <w:rsid w:val="00E63A8D"/>
    <w:rsid w:val="00EC1394"/>
    <w:rsid w:val="00EC2DDF"/>
    <w:rsid w:val="00EC34FB"/>
    <w:rsid w:val="00EF03FB"/>
    <w:rsid w:val="00F132A2"/>
    <w:rsid w:val="00F339AC"/>
    <w:rsid w:val="00F60450"/>
    <w:rsid w:val="00F675A3"/>
    <w:rsid w:val="00FD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58"/>
  </w:style>
  <w:style w:type="paragraph" w:styleId="1">
    <w:name w:val="heading 1"/>
    <w:basedOn w:val="a"/>
    <w:link w:val="10"/>
    <w:uiPriority w:val="9"/>
    <w:qFormat/>
    <w:rsid w:val="0043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4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43247A"/>
  </w:style>
  <w:style w:type="table" w:styleId="a3">
    <w:name w:val="Table Grid"/>
    <w:basedOn w:val="a1"/>
    <w:uiPriority w:val="59"/>
    <w:rsid w:val="0043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2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FD5594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D5594"/>
    <w:rPr>
      <w:rFonts w:ascii="Times NR Cyr MT" w:eastAsia="Times NR Cyr MT" w:hAnsi="Times NR Cyr MT" w:cs="Times New Roman"/>
      <w:sz w:val="28"/>
      <w:szCs w:val="20"/>
    </w:rPr>
  </w:style>
  <w:style w:type="paragraph" w:styleId="a8">
    <w:name w:val="No Spacing"/>
    <w:uiPriority w:val="1"/>
    <w:qFormat/>
    <w:rsid w:val="00E356FB"/>
    <w:pPr>
      <w:spacing w:after="0" w:line="240" w:lineRule="auto"/>
    </w:pPr>
  </w:style>
  <w:style w:type="paragraph" w:customStyle="1" w:styleId="ConsPlusTitle">
    <w:name w:val="ConsPlusTitle"/>
    <w:uiPriority w:val="99"/>
    <w:rsid w:val="0062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74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4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3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11</cp:revision>
  <cp:lastPrinted>2020-02-04T04:45:00Z</cp:lastPrinted>
  <dcterms:created xsi:type="dcterms:W3CDTF">2020-01-21T02:59:00Z</dcterms:created>
  <dcterms:modified xsi:type="dcterms:W3CDTF">2020-02-04T04:45:00Z</dcterms:modified>
</cp:coreProperties>
</file>