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AB" w:rsidRPr="00C02E39" w:rsidRDefault="00230A8F" w:rsidP="00B765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" o:spid="_x0000_s1026" style="position:absolute;left:0;text-align:left;margin-left:209.4pt;margin-top:.7pt;width:56.5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" o:allowincell="f" stroked="f" strokeweight="0">
            <v:textbox inset="0,0,0,0">
              <w:txbxContent>
                <w:p w:rsidR="005C122F" w:rsidRDefault="005C122F" w:rsidP="00B765AB">
                  <w:pPr>
                    <w:ind w:right="-28"/>
                    <w:jc w:val="center"/>
                  </w:pPr>
                </w:p>
                <w:p w:rsidR="005C122F" w:rsidRDefault="005C122F" w:rsidP="00B765AB"/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" o:spid="_x0000_s1027" style="position:absolute;left:0;text-align:left;margin-left:209.4pt;margin-top:.7pt;width:51.6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" o:allowincell="f" stroked="f" strokeweight="0">
            <v:textbox inset="0,0,0,0">
              <w:txbxContent>
                <w:p w:rsidR="005C122F" w:rsidRPr="0023392C" w:rsidRDefault="005C122F" w:rsidP="00B765AB"/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" o:spid="_x0000_s1028" style="position:absolute;left:0;text-align:left;margin-left:209.4pt;margin-top:.7pt;width:51.6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" o:allowincell="f" stroked="f" strokeweight="0">
            <v:textbox inset="0,0,0,0">
              <w:txbxContent>
                <w:p w:rsidR="005C122F" w:rsidRDefault="005C122F" w:rsidP="00B765AB">
                  <w:pPr>
                    <w:ind w:right="-28"/>
                    <w:jc w:val="center"/>
                  </w:pPr>
                  <w:r w:rsidRPr="007606B0">
                    <w:rPr>
                      <w:sz w:val="20"/>
                      <w:szCs w:val="20"/>
                    </w:rPr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pt;height:48pt" o:ole="">
                        <v:imagedata r:id="rId5" o:title=""/>
                        <o:lock v:ext="edit" aspectratio="f"/>
                      </v:shape>
                      <o:OLEObject Type="Embed" ProgID="PBrush" ShapeID="_x0000_i1026" DrawAspect="Content" ObjectID="_1730794054" r:id="rId6"/>
                    </w:object>
                  </w:r>
                </w:p>
                <w:p w:rsidR="005C122F" w:rsidRDefault="005C122F" w:rsidP="00B765AB"/>
              </w:txbxContent>
            </v:textbox>
          </v:rect>
        </w:pict>
      </w:r>
    </w:p>
    <w:p w:rsidR="00B765AB" w:rsidRPr="00C02E39" w:rsidRDefault="00B765AB" w:rsidP="00B765AB">
      <w:pPr>
        <w:jc w:val="center"/>
        <w:rPr>
          <w:sz w:val="28"/>
          <w:szCs w:val="28"/>
        </w:rPr>
      </w:pPr>
    </w:p>
    <w:p w:rsidR="00B765AB" w:rsidRPr="00C02E39" w:rsidRDefault="00B765AB" w:rsidP="00B765AB">
      <w:pPr>
        <w:jc w:val="center"/>
        <w:rPr>
          <w:sz w:val="28"/>
          <w:szCs w:val="28"/>
        </w:rPr>
      </w:pPr>
    </w:p>
    <w:p w:rsidR="00B765AB" w:rsidRPr="00C02E39" w:rsidRDefault="00B765AB" w:rsidP="00B765AB">
      <w:pPr>
        <w:jc w:val="center"/>
        <w:rPr>
          <w:sz w:val="28"/>
          <w:szCs w:val="28"/>
        </w:rPr>
      </w:pPr>
    </w:p>
    <w:p w:rsidR="00B765AB" w:rsidRPr="00C02E39" w:rsidRDefault="00B765AB" w:rsidP="00B765AB">
      <w:pPr>
        <w:jc w:val="center"/>
        <w:rPr>
          <w:b/>
          <w:spacing w:val="-20"/>
          <w:sz w:val="28"/>
          <w:szCs w:val="28"/>
        </w:rPr>
      </w:pPr>
      <w:r w:rsidRPr="00C02E39">
        <w:rPr>
          <w:b/>
          <w:spacing w:val="-20"/>
          <w:sz w:val="28"/>
          <w:szCs w:val="28"/>
        </w:rPr>
        <w:t>Муниципальное образование</w:t>
      </w:r>
    </w:p>
    <w:p w:rsidR="00B765AB" w:rsidRPr="00C02E39" w:rsidRDefault="00B765AB" w:rsidP="00B765AB">
      <w:pPr>
        <w:jc w:val="center"/>
        <w:rPr>
          <w:b/>
          <w:spacing w:val="-20"/>
          <w:sz w:val="28"/>
          <w:szCs w:val="28"/>
        </w:rPr>
      </w:pPr>
      <w:r w:rsidRPr="00C02E39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B765AB" w:rsidRPr="00C02E39" w:rsidRDefault="00B765AB" w:rsidP="00B765AB">
      <w:pPr>
        <w:jc w:val="center"/>
        <w:rPr>
          <w:sz w:val="28"/>
          <w:szCs w:val="28"/>
        </w:rPr>
      </w:pPr>
      <w:r w:rsidRPr="00C02E39">
        <w:rPr>
          <w:sz w:val="28"/>
          <w:szCs w:val="28"/>
        </w:rPr>
        <w:t>Еврейской автономной области</w:t>
      </w:r>
    </w:p>
    <w:p w:rsidR="00B765AB" w:rsidRPr="00C02E39" w:rsidRDefault="00B765AB" w:rsidP="00B765AB">
      <w:pPr>
        <w:jc w:val="center"/>
        <w:rPr>
          <w:sz w:val="28"/>
          <w:szCs w:val="28"/>
        </w:rPr>
      </w:pPr>
    </w:p>
    <w:p w:rsidR="00B765AB" w:rsidRPr="00C02E39" w:rsidRDefault="00B765AB" w:rsidP="00B765AB">
      <w:pPr>
        <w:pStyle w:val="1"/>
        <w:rPr>
          <w:rFonts w:ascii="Times New Roman" w:hAnsi="Times New Roman"/>
          <w:b w:val="0"/>
          <w:szCs w:val="28"/>
        </w:rPr>
      </w:pPr>
      <w:r w:rsidRPr="00C02E39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B765AB" w:rsidRPr="00C02E39" w:rsidRDefault="00B765AB" w:rsidP="00B765AB">
      <w:pPr>
        <w:jc w:val="center"/>
        <w:rPr>
          <w:sz w:val="28"/>
          <w:szCs w:val="28"/>
        </w:rPr>
      </w:pPr>
    </w:p>
    <w:p w:rsidR="00B765AB" w:rsidRPr="00C02E39" w:rsidRDefault="00B765AB" w:rsidP="00B765AB">
      <w:pPr>
        <w:jc w:val="center"/>
        <w:rPr>
          <w:b/>
          <w:spacing w:val="60"/>
          <w:sz w:val="28"/>
          <w:szCs w:val="28"/>
        </w:rPr>
      </w:pPr>
      <w:r w:rsidRPr="00C02E39">
        <w:rPr>
          <w:b/>
          <w:spacing w:val="60"/>
          <w:sz w:val="28"/>
          <w:szCs w:val="28"/>
        </w:rPr>
        <w:t>ПОСТАНОВЛЕНИЕ</w:t>
      </w:r>
    </w:p>
    <w:p w:rsidR="00B765AB" w:rsidRPr="00C02E39" w:rsidRDefault="00B765AB" w:rsidP="000E3DB1">
      <w:pPr>
        <w:rPr>
          <w:sz w:val="28"/>
          <w:szCs w:val="28"/>
        </w:rPr>
      </w:pPr>
      <w:r w:rsidRPr="00C02E39">
        <w:rPr>
          <w:sz w:val="28"/>
          <w:szCs w:val="28"/>
        </w:rPr>
        <w:t xml:space="preserve"> </w:t>
      </w:r>
      <w:r w:rsidR="000C3AD5">
        <w:rPr>
          <w:sz w:val="28"/>
          <w:szCs w:val="28"/>
        </w:rPr>
        <w:t>24.11.2022</w:t>
      </w:r>
      <w:r w:rsidR="00EC27DA" w:rsidRPr="00C02E39">
        <w:rPr>
          <w:sz w:val="28"/>
          <w:szCs w:val="28"/>
        </w:rPr>
        <w:t xml:space="preserve">                                    </w:t>
      </w:r>
      <w:r w:rsidR="00C02E39" w:rsidRPr="00C02E39">
        <w:rPr>
          <w:sz w:val="28"/>
          <w:szCs w:val="28"/>
        </w:rPr>
        <w:t xml:space="preserve"> </w:t>
      </w:r>
      <w:r w:rsidR="00EC27DA" w:rsidRPr="00C02E39">
        <w:rPr>
          <w:sz w:val="28"/>
          <w:szCs w:val="28"/>
        </w:rPr>
        <w:t xml:space="preserve">                            </w:t>
      </w:r>
      <w:r w:rsidR="00C02E39">
        <w:rPr>
          <w:sz w:val="28"/>
          <w:szCs w:val="28"/>
        </w:rPr>
        <w:t xml:space="preserve">  </w:t>
      </w:r>
      <w:r w:rsidR="00C02E39" w:rsidRPr="00C02E39">
        <w:rPr>
          <w:sz w:val="28"/>
          <w:szCs w:val="28"/>
        </w:rPr>
        <w:t xml:space="preserve">  </w:t>
      </w:r>
      <w:r w:rsidR="00EC27DA" w:rsidRPr="00C02E39">
        <w:rPr>
          <w:sz w:val="28"/>
          <w:szCs w:val="28"/>
        </w:rPr>
        <w:t xml:space="preserve">             </w:t>
      </w:r>
      <w:r w:rsidR="000C3AD5">
        <w:rPr>
          <w:sz w:val="28"/>
          <w:szCs w:val="28"/>
        </w:rPr>
        <w:t xml:space="preserve">                     </w:t>
      </w:r>
      <w:r w:rsidR="006A3F27" w:rsidRPr="00C02E39">
        <w:rPr>
          <w:sz w:val="28"/>
          <w:szCs w:val="28"/>
        </w:rPr>
        <w:t>№</w:t>
      </w:r>
      <w:r w:rsidR="000C3AD5">
        <w:rPr>
          <w:sz w:val="28"/>
          <w:szCs w:val="28"/>
        </w:rPr>
        <w:t xml:space="preserve"> 192</w:t>
      </w:r>
    </w:p>
    <w:p w:rsidR="00B765AB" w:rsidRPr="00C02E39" w:rsidRDefault="00B765AB" w:rsidP="00B765AB">
      <w:pPr>
        <w:jc w:val="center"/>
        <w:rPr>
          <w:sz w:val="28"/>
          <w:szCs w:val="28"/>
        </w:rPr>
      </w:pPr>
      <w:r w:rsidRPr="00C02E39">
        <w:rPr>
          <w:sz w:val="28"/>
          <w:szCs w:val="28"/>
        </w:rPr>
        <w:t>с. Амурзет</w:t>
      </w:r>
    </w:p>
    <w:p w:rsidR="00B765AB" w:rsidRPr="00C02E39" w:rsidRDefault="0064121A" w:rsidP="00B765AB">
      <w:pPr>
        <w:jc w:val="center"/>
        <w:rPr>
          <w:sz w:val="28"/>
          <w:szCs w:val="28"/>
        </w:rPr>
      </w:pPr>
      <w:r w:rsidRPr="00C02E39">
        <w:rPr>
          <w:sz w:val="28"/>
          <w:szCs w:val="28"/>
        </w:rPr>
        <w:t xml:space="preserve"> </w:t>
      </w:r>
    </w:p>
    <w:p w:rsidR="00EC27DA" w:rsidRPr="00C02E39" w:rsidRDefault="00EC27DA" w:rsidP="00EC27DA">
      <w:pPr>
        <w:shd w:val="clear" w:color="auto" w:fill="FFFFFF"/>
        <w:jc w:val="both"/>
        <w:outlineLvl w:val="2"/>
        <w:rPr>
          <w:bCs/>
          <w:sz w:val="28"/>
          <w:szCs w:val="28"/>
        </w:rPr>
      </w:pPr>
      <w:r w:rsidRPr="00C02E39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Еврейской автономной области </w:t>
      </w:r>
      <w:r w:rsidR="00A907A1">
        <w:rPr>
          <w:sz w:val="28"/>
          <w:szCs w:val="28"/>
        </w:rPr>
        <w:t>на</w:t>
      </w:r>
      <w:r w:rsidRPr="00C02E39">
        <w:rPr>
          <w:sz w:val="28"/>
          <w:szCs w:val="28"/>
        </w:rPr>
        <w:t xml:space="preserve"> 2023 год (далее – Программа профилактики)</w:t>
      </w:r>
    </w:p>
    <w:p w:rsidR="0064121A" w:rsidRPr="00C02E39" w:rsidRDefault="0064121A" w:rsidP="006A3F27">
      <w:pPr>
        <w:pStyle w:val="ConsPlusTitle"/>
        <w:jc w:val="both"/>
        <w:rPr>
          <w:rFonts w:ascii="Times New Roman" w:hAnsi="Times New Roman" w:cs="Times New Roman"/>
          <w:b w:val="0"/>
          <w:color w:val="0D0D0D"/>
          <w:sz w:val="28"/>
          <w:szCs w:val="28"/>
          <w:shd w:val="clear" w:color="auto" w:fill="FFFFFF"/>
        </w:rPr>
      </w:pPr>
    </w:p>
    <w:p w:rsidR="00EC27DA" w:rsidRPr="00C02E39" w:rsidRDefault="00EC27DA" w:rsidP="00EC27DA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02E3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C02E39">
        <w:rPr>
          <w:vanish/>
          <w:sz w:val="28"/>
          <w:szCs w:val="28"/>
        </w:rPr>
        <w:t>#S</w:t>
      </w:r>
      <w:r w:rsidRPr="00C02E39"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F828AF" w:rsidRPr="00C02E39" w:rsidRDefault="00F828AF" w:rsidP="00F828AF">
      <w:pPr>
        <w:jc w:val="both"/>
        <w:rPr>
          <w:sz w:val="28"/>
          <w:szCs w:val="28"/>
        </w:rPr>
      </w:pPr>
      <w:r w:rsidRPr="00C02E39">
        <w:rPr>
          <w:sz w:val="28"/>
          <w:szCs w:val="28"/>
        </w:rPr>
        <w:t>ПОСТАНОВЛЯЕТ:</w:t>
      </w:r>
    </w:p>
    <w:p w:rsidR="00745360" w:rsidRPr="00C02E39" w:rsidRDefault="006A3F27" w:rsidP="00745360">
      <w:pPr>
        <w:shd w:val="clear" w:color="auto" w:fill="FFFFFF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C02E39">
        <w:rPr>
          <w:sz w:val="28"/>
          <w:szCs w:val="28"/>
        </w:rPr>
        <w:t xml:space="preserve">1. Утвердить </w:t>
      </w:r>
      <w:r w:rsidR="00745360" w:rsidRPr="00C02E39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Еврейской автономной области </w:t>
      </w:r>
      <w:r w:rsidR="00761D36">
        <w:rPr>
          <w:sz w:val="28"/>
          <w:szCs w:val="28"/>
        </w:rPr>
        <w:t>на</w:t>
      </w:r>
      <w:r w:rsidR="00745360" w:rsidRPr="00C02E39">
        <w:rPr>
          <w:sz w:val="28"/>
          <w:szCs w:val="28"/>
        </w:rPr>
        <w:t xml:space="preserve"> 2023 год (далее – Программа профилактики);</w:t>
      </w:r>
    </w:p>
    <w:p w:rsidR="0064121A" w:rsidRPr="00C02E39" w:rsidRDefault="00745360" w:rsidP="0064121A">
      <w:pPr>
        <w:ind w:firstLine="709"/>
        <w:jc w:val="both"/>
        <w:rPr>
          <w:sz w:val="28"/>
          <w:szCs w:val="28"/>
        </w:rPr>
      </w:pPr>
      <w:r w:rsidRPr="00C02E39">
        <w:rPr>
          <w:sz w:val="28"/>
          <w:szCs w:val="28"/>
        </w:rPr>
        <w:t>2</w:t>
      </w:r>
      <w:r w:rsidR="00F828AF" w:rsidRPr="00C02E39">
        <w:rPr>
          <w:sz w:val="28"/>
          <w:szCs w:val="28"/>
        </w:rPr>
        <w:t xml:space="preserve">. </w:t>
      </w:r>
      <w:r w:rsidR="00D131FB" w:rsidRPr="00C02E39">
        <w:rPr>
          <w:sz w:val="28"/>
          <w:szCs w:val="28"/>
        </w:rPr>
        <w:t>Комитету по управлению муниципальным имуществом администрации муниципального района муниципального образования «Октябрьский муниципальный райо</w:t>
      </w:r>
      <w:r w:rsidR="0064121A" w:rsidRPr="00C02E39">
        <w:rPr>
          <w:sz w:val="28"/>
          <w:szCs w:val="28"/>
        </w:rPr>
        <w:t xml:space="preserve">н» Еврейской автономной области </w:t>
      </w:r>
      <w:r w:rsidR="007D0EF4" w:rsidRPr="00C02E39">
        <w:rPr>
          <w:sz w:val="28"/>
          <w:szCs w:val="28"/>
        </w:rPr>
        <w:t xml:space="preserve">(Лопатина А.И.) </w:t>
      </w:r>
      <w:r w:rsidR="000D4837" w:rsidRPr="00C02E39">
        <w:rPr>
          <w:sz w:val="28"/>
          <w:szCs w:val="28"/>
        </w:rPr>
        <w:t xml:space="preserve">разместить </w:t>
      </w:r>
      <w:r w:rsidR="003149E6" w:rsidRPr="00C02E39">
        <w:rPr>
          <w:sz w:val="28"/>
          <w:szCs w:val="28"/>
        </w:rPr>
        <w:t>на официальном сайте адми</w:t>
      </w:r>
      <w:r w:rsidR="0064121A" w:rsidRPr="00C02E39">
        <w:rPr>
          <w:sz w:val="28"/>
          <w:szCs w:val="28"/>
        </w:rPr>
        <w:t>нистрации муниципального района утвержденн</w:t>
      </w:r>
      <w:r w:rsidR="007D0EF4" w:rsidRPr="00C02E39">
        <w:rPr>
          <w:sz w:val="28"/>
          <w:szCs w:val="28"/>
        </w:rPr>
        <w:t xml:space="preserve">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Еврейской автономной области </w:t>
      </w:r>
      <w:r w:rsidR="003C06C3">
        <w:rPr>
          <w:sz w:val="28"/>
          <w:szCs w:val="28"/>
        </w:rPr>
        <w:t>на</w:t>
      </w:r>
      <w:r w:rsidR="007D0EF4" w:rsidRPr="00C02E39">
        <w:rPr>
          <w:sz w:val="28"/>
          <w:szCs w:val="28"/>
        </w:rPr>
        <w:t xml:space="preserve"> 2023 год (далее – Программа профилактики);</w:t>
      </w:r>
    </w:p>
    <w:p w:rsidR="00F828AF" w:rsidRPr="00C02E39" w:rsidRDefault="0056264F" w:rsidP="00F82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28AF" w:rsidRPr="00C02E39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F828AF" w:rsidRPr="00C02E39" w:rsidRDefault="0056264F" w:rsidP="00F828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8AF" w:rsidRPr="00C02E39">
        <w:rPr>
          <w:sz w:val="28"/>
          <w:szCs w:val="28"/>
        </w:rPr>
        <w:t>. Опубликовать настоящее постановление в Информационном бюллетене «Правово</w:t>
      </w:r>
      <w:r w:rsidR="00901D3A" w:rsidRPr="00C02E39">
        <w:rPr>
          <w:sz w:val="28"/>
          <w:szCs w:val="28"/>
        </w:rPr>
        <w:t xml:space="preserve">й вестник Октябрьского района» </w:t>
      </w:r>
      <w:r w:rsidR="00F828AF" w:rsidRPr="00C02E39">
        <w:rPr>
          <w:sz w:val="28"/>
          <w:szCs w:val="28"/>
        </w:rPr>
        <w:t>и разместить на официальном сайте муниципального образования «Октябрьский муниципальный район»</w:t>
      </w:r>
      <w:r w:rsidR="008B26D1" w:rsidRPr="00C02E39">
        <w:rPr>
          <w:sz w:val="28"/>
          <w:szCs w:val="28"/>
        </w:rPr>
        <w:t xml:space="preserve"> </w:t>
      </w:r>
      <w:r w:rsidR="00610A78" w:rsidRPr="00C02E39">
        <w:rPr>
          <w:sz w:val="28"/>
          <w:szCs w:val="28"/>
        </w:rPr>
        <w:t>Еврейской автономной области</w:t>
      </w:r>
      <w:r w:rsidR="00F828AF" w:rsidRPr="00C02E39">
        <w:rPr>
          <w:sz w:val="28"/>
          <w:szCs w:val="28"/>
        </w:rPr>
        <w:t>.</w:t>
      </w:r>
    </w:p>
    <w:p w:rsidR="00DD4DE1" w:rsidRPr="00C02E39" w:rsidRDefault="0056264F" w:rsidP="00641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4837" w:rsidRPr="00C02E39">
        <w:rPr>
          <w:sz w:val="28"/>
          <w:szCs w:val="28"/>
        </w:rPr>
        <w:t xml:space="preserve">. </w:t>
      </w:r>
      <w:r w:rsidR="00E55046" w:rsidRPr="00C02E39">
        <w:rPr>
          <w:sz w:val="28"/>
          <w:szCs w:val="28"/>
        </w:rPr>
        <w:t xml:space="preserve">Настоящее постановление вступает в силу </w:t>
      </w:r>
      <w:r w:rsidR="00552657" w:rsidRPr="00C02E39">
        <w:rPr>
          <w:sz w:val="28"/>
          <w:szCs w:val="28"/>
        </w:rPr>
        <w:t xml:space="preserve">после </w:t>
      </w:r>
      <w:r w:rsidR="0064121A" w:rsidRPr="00C02E39">
        <w:rPr>
          <w:sz w:val="28"/>
          <w:szCs w:val="28"/>
        </w:rPr>
        <w:t xml:space="preserve">его официального опубликования. </w:t>
      </w:r>
      <w:r w:rsidR="00703529" w:rsidRPr="00C02E39">
        <w:rPr>
          <w:sz w:val="28"/>
          <w:szCs w:val="28"/>
        </w:rPr>
        <w:t xml:space="preserve"> </w:t>
      </w:r>
    </w:p>
    <w:p w:rsidR="0064121A" w:rsidRPr="00C02E39" w:rsidRDefault="0064121A" w:rsidP="00BC1CC8">
      <w:pPr>
        <w:jc w:val="both"/>
        <w:rPr>
          <w:sz w:val="28"/>
          <w:szCs w:val="28"/>
        </w:rPr>
      </w:pPr>
    </w:p>
    <w:p w:rsidR="00745360" w:rsidRPr="00C02E39" w:rsidRDefault="00745360" w:rsidP="00BC1CC8">
      <w:pPr>
        <w:jc w:val="both"/>
        <w:rPr>
          <w:sz w:val="28"/>
          <w:szCs w:val="28"/>
        </w:rPr>
      </w:pPr>
    </w:p>
    <w:p w:rsidR="00F828AF" w:rsidRPr="00C02E39" w:rsidRDefault="00F828AF" w:rsidP="00F828AF">
      <w:pPr>
        <w:pStyle w:val="2"/>
        <w:ind w:firstLine="0"/>
        <w:rPr>
          <w:szCs w:val="28"/>
        </w:rPr>
      </w:pPr>
      <w:r w:rsidRPr="00C02E39">
        <w:rPr>
          <w:szCs w:val="28"/>
        </w:rPr>
        <w:t>Глава администрации</w:t>
      </w:r>
    </w:p>
    <w:p w:rsidR="00BC1CC8" w:rsidRDefault="00F828AF" w:rsidP="00BC1CC8">
      <w:pPr>
        <w:pStyle w:val="2"/>
        <w:ind w:firstLine="0"/>
        <w:rPr>
          <w:szCs w:val="28"/>
        </w:rPr>
      </w:pPr>
      <w:r w:rsidRPr="00C02E39">
        <w:rPr>
          <w:szCs w:val="28"/>
        </w:rPr>
        <w:t>муниципальног</w:t>
      </w:r>
      <w:r w:rsidR="00376E55">
        <w:rPr>
          <w:szCs w:val="28"/>
        </w:rPr>
        <w:t>о района</w:t>
      </w:r>
      <w:r w:rsidR="00376E55">
        <w:rPr>
          <w:szCs w:val="28"/>
        </w:rPr>
        <w:tab/>
      </w:r>
      <w:r w:rsidR="00376E55">
        <w:rPr>
          <w:szCs w:val="28"/>
        </w:rPr>
        <w:tab/>
      </w:r>
      <w:r w:rsidR="00376E55">
        <w:rPr>
          <w:szCs w:val="28"/>
        </w:rPr>
        <w:tab/>
      </w:r>
      <w:r w:rsidR="00376E55">
        <w:rPr>
          <w:szCs w:val="28"/>
        </w:rPr>
        <w:tab/>
      </w:r>
      <w:r w:rsidR="00376E55">
        <w:rPr>
          <w:szCs w:val="28"/>
        </w:rPr>
        <w:tab/>
        <w:t xml:space="preserve">        </w:t>
      </w:r>
      <w:r w:rsidR="005D25BF">
        <w:rPr>
          <w:szCs w:val="28"/>
        </w:rPr>
        <w:t xml:space="preserve"> </w:t>
      </w:r>
      <w:r w:rsidRPr="00C02E39">
        <w:rPr>
          <w:szCs w:val="28"/>
        </w:rPr>
        <w:t xml:space="preserve">М.Ю. Леонова </w:t>
      </w:r>
    </w:p>
    <w:p w:rsidR="005C122F" w:rsidRDefault="005C122F" w:rsidP="00BC1CC8">
      <w:pPr>
        <w:pStyle w:val="2"/>
        <w:ind w:firstLine="0"/>
        <w:rPr>
          <w:szCs w:val="28"/>
        </w:rPr>
      </w:pPr>
    </w:p>
    <w:p w:rsidR="005C122F" w:rsidRDefault="005C122F" w:rsidP="00BC1CC8">
      <w:pPr>
        <w:pStyle w:val="2"/>
        <w:ind w:firstLine="0"/>
        <w:rPr>
          <w:szCs w:val="28"/>
        </w:rPr>
      </w:pPr>
    </w:p>
    <w:p w:rsidR="005C122F" w:rsidRDefault="005C122F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376E55" w:rsidRDefault="00376E55" w:rsidP="00BC1CC8">
      <w:pPr>
        <w:pStyle w:val="2"/>
        <w:ind w:firstLine="0"/>
        <w:rPr>
          <w:szCs w:val="28"/>
        </w:rPr>
      </w:pPr>
    </w:p>
    <w:p w:rsidR="00F75D6B" w:rsidRDefault="00F75D6B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B74573" w:rsidRDefault="00B74573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116E7D" w:rsidRDefault="00116E7D" w:rsidP="00116E7D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116E7D" w:rsidRDefault="00116E7D" w:rsidP="00116E7D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6E7D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116E7D" w:rsidRDefault="00116E7D" w:rsidP="00116E7D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116E7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6E7D" w:rsidRDefault="00116E7D" w:rsidP="00116E7D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от</w:t>
      </w:r>
    </w:p>
    <w:p w:rsidR="00116E7D" w:rsidRPr="00116E7D" w:rsidRDefault="00CE0EC4" w:rsidP="00116E7D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24.11.2022 </w:t>
      </w:r>
      <w:r w:rsidR="00116E7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192</w:t>
      </w:r>
    </w:p>
    <w:p w:rsidR="00116E7D" w:rsidRDefault="00116E7D" w:rsidP="00116E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6E7D" w:rsidRPr="009F11B4" w:rsidRDefault="00116E7D" w:rsidP="00116E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 контроля на территории муниципального образования «Октябрьский муниципальный район» Еврейской автономной области на 2023 год</w:t>
      </w:r>
    </w:p>
    <w:p w:rsidR="00116E7D" w:rsidRDefault="00116E7D" w:rsidP="00116E7D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E7D" w:rsidRDefault="00116E7D" w:rsidP="00116E7D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5F15">
        <w:rPr>
          <w:rFonts w:ascii="Times New Roman" w:eastAsia="Times New Roman" w:hAnsi="Times New Roman" w:cs="Times New Roman"/>
          <w:b/>
          <w:sz w:val="28"/>
          <w:szCs w:val="24"/>
        </w:rPr>
        <w:t>1. Общие положения</w:t>
      </w:r>
    </w:p>
    <w:p w:rsidR="00116E7D" w:rsidRPr="00255F15" w:rsidRDefault="00116E7D" w:rsidP="00116E7D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16E7D" w:rsidRDefault="00116E7D" w:rsidP="00116E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580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1580">
        <w:rPr>
          <w:rFonts w:ascii="Times New Roman" w:eastAsia="Times New Roman" w:hAnsi="Times New Roman" w:cs="Times New Roman"/>
          <w:sz w:val="28"/>
          <w:szCs w:val="28"/>
        </w:rPr>
        <w:t>врейской автономной области (далее – Прогр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амма профилактики) разработана </w:t>
      </w:r>
      <w:r w:rsidRPr="001D1580">
        <w:rPr>
          <w:rFonts w:ascii="Times New Roman" w:eastAsia="Times New Roman" w:hAnsi="Times New Roman" w:cs="Times New Roman"/>
          <w:sz w:val="28"/>
          <w:szCs w:val="28"/>
        </w:rPr>
        <w:t>в соответствии со ст. 44 Федерального закона от 31.07.20</w:t>
      </w:r>
      <w:r w:rsidR="008815D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D1580">
        <w:rPr>
          <w:rFonts w:ascii="Times New Roman" w:eastAsia="Times New Roman" w:hAnsi="Times New Roman" w:cs="Times New Roman"/>
          <w:sz w:val="28"/>
          <w:szCs w:val="28"/>
        </w:rPr>
        <w:t xml:space="preserve"> № 248-ФЗ </w:t>
      </w:r>
      <w:r w:rsidRPr="001D1580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 w:rsidRPr="001D158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«Октябрьский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1580">
        <w:rPr>
          <w:rFonts w:ascii="Times New Roman" w:eastAsia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E7D" w:rsidRDefault="00116E7D" w:rsidP="00116E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E7D" w:rsidRPr="0051017A" w:rsidRDefault="00116E7D" w:rsidP="00116E7D">
      <w:pPr>
        <w:pStyle w:val="ConsPlusNonforma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17A">
        <w:rPr>
          <w:rFonts w:ascii="Times New Roman" w:hAnsi="Times New Roman" w:cs="Times New Roman"/>
          <w:b/>
          <w:sz w:val="28"/>
          <w:szCs w:val="28"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16E7D" w:rsidRDefault="00116E7D" w:rsidP="00116E7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16E7D" w:rsidRPr="00511CCA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порядке осуществления муниципального земельного контроля на территории муниципального образования «Октябрьский муниципальный район» Еврейской автономной области, утвержденным решением Собрания депутатов муниципального района от 28.10.2021 № 114, земельный контроль на территории муниципального образования «Октябрьский муниципальный район» Еврейской автономной области (далее – земельный контроль) осуществляет комитет по управлению муниципальным имуществом администрации муниципального района муниципального образования  «</w:t>
      </w:r>
      <w:r w:rsidRPr="00511CCA">
        <w:rPr>
          <w:rFonts w:ascii="Times New Roman" w:hAnsi="Times New Roman" w:cs="Times New Roman"/>
          <w:sz w:val="28"/>
          <w:szCs w:val="28"/>
        </w:rPr>
        <w:t>Октябрьский муниципальный район» Еврейской автономной области (далее – Комитет).</w:t>
      </w:r>
    </w:p>
    <w:p w:rsidR="00116E7D" w:rsidRPr="00511CCA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CA">
        <w:rPr>
          <w:rFonts w:ascii="Times New Roman" w:hAnsi="Times New Roman" w:cs="Times New Roman"/>
          <w:sz w:val="28"/>
          <w:szCs w:val="28"/>
        </w:rPr>
        <w:t>Объектом муниципального земельного контроля являются земли, земельные участки или части земельных участков, находящихся в границах муниципального образования «Октябрьский муниципальный район» Еврейской автономной области.</w:t>
      </w:r>
    </w:p>
    <w:p w:rsidR="00116E7D" w:rsidRPr="003B3C90" w:rsidRDefault="00116E7D" w:rsidP="00116E7D">
      <w:pPr>
        <w:ind w:firstLine="709"/>
        <w:jc w:val="both"/>
        <w:rPr>
          <w:sz w:val="28"/>
          <w:szCs w:val="28"/>
        </w:rPr>
      </w:pPr>
      <w:r w:rsidRPr="00E366B6">
        <w:rPr>
          <w:color w:val="000000"/>
          <w:sz w:val="28"/>
          <w:szCs w:val="28"/>
          <w:shd w:val="clear" w:color="auto" w:fill="FFFFFF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</w:t>
      </w:r>
      <w:r w:rsidRPr="00754F3A">
        <w:rPr>
          <w:color w:val="000000"/>
          <w:sz w:val="28"/>
          <w:szCs w:val="28"/>
          <w:shd w:val="clear" w:color="auto" w:fill="FFFFFF"/>
        </w:rPr>
        <w:t>законодательством предусмотрена административная ответственность.</w:t>
      </w:r>
    </w:p>
    <w:p w:rsidR="00116E7D" w:rsidRPr="002C1234" w:rsidRDefault="00116E7D" w:rsidP="00116E7D">
      <w:pPr>
        <w:pStyle w:val="1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</w:rPr>
      </w:pPr>
      <w:r w:rsidRPr="002C1234">
        <w:rPr>
          <w:rFonts w:ascii="Times New Roman" w:hAnsi="Times New Roman"/>
          <w:b w:val="0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b w:val="0"/>
          <w:szCs w:val="28"/>
        </w:rPr>
        <w:t>П</w:t>
      </w:r>
      <w:r w:rsidRPr="002C1234">
        <w:rPr>
          <w:rFonts w:ascii="Times New Roman" w:hAnsi="Times New Roman"/>
          <w:b w:val="0"/>
          <w:szCs w:val="28"/>
        </w:rPr>
        <w:t>равительства РФ от</w:t>
      </w:r>
      <w:r w:rsidRPr="002C1234">
        <w:rPr>
          <w:rFonts w:ascii="Times New Roman" w:hAnsi="Times New Roman"/>
          <w:b w:val="0"/>
          <w:color w:val="000000"/>
          <w:szCs w:val="28"/>
        </w:rPr>
        <w:t xml:space="preserve"> 10.03.2022 </w:t>
      </w:r>
      <w:r>
        <w:rPr>
          <w:rFonts w:ascii="Times New Roman" w:hAnsi="Times New Roman"/>
          <w:b w:val="0"/>
          <w:color w:val="000000"/>
          <w:szCs w:val="28"/>
        </w:rPr>
        <w:t>№ </w:t>
      </w:r>
      <w:r w:rsidRPr="002C1234">
        <w:rPr>
          <w:rFonts w:ascii="Times New Roman" w:hAnsi="Times New Roman"/>
          <w:b w:val="0"/>
          <w:color w:val="000000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C1234">
        <w:rPr>
          <w:rFonts w:ascii="Times New Roman" w:hAnsi="Times New Roman"/>
          <w:b w:val="0"/>
          <w:szCs w:val="28"/>
        </w:rPr>
        <w:t xml:space="preserve">плановые </w:t>
      </w:r>
      <w:r w:rsidRPr="002C1234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>контрольные (надзорные) мероприятия, плановые проверки</w:t>
      </w:r>
      <w:r>
        <w:rPr>
          <w:rFonts w:ascii="Times New Roman" w:hAnsi="Times New Roman"/>
          <w:b w:val="0"/>
          <w:color w:val="000000"/>
          <w:szCs w:val="28"/>
          <w:shd w:val="clear" w:color="auto" w:fill="FFFFFF"/>
        </w:rPr>
        <w:t xml:space="preserve"> комитетом в 2022 году не проводились. </w:t>
      </w:r>
    </w:p>
    <w:p w:rsidR="00116E7D" w:rsidRDefault="00116E7D" w:rsidP="00116E7D">
      <w:pPr>
        <w:pStyle w:val="ConsPlusNonforma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08.09.2022 комитетом проведено 22 выездных обследования земельных участков. По результатам проведенных обследований установлено 5 нарушений требований земельного законодательства, а именно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использованием. По фактам выявленных нарушений выдано 5 предостережений о недопустимости </w:t>
      </w:r>
      <w:r w:rsidRPr="00DB0C54">
        <w:rPr>
          <w:rFonts w:ascii="Times New Roman" w:hAnsi="Times New Roman" w:cs="Times New Roman"/>
          <w:sz w:val="28"/>
          <w:szCs w:val="28"/>
        </w:rPr>
        <w:t>нарушения обязательных требований земельного законодательства.</w:t>
      </w:r>
      <w:r>
        <w:rPr>
          <w:b/>
          <w:sz w:val="28"/>
          <w:szCs w:val="28"/>
        </w:rPr>
        <w:t xml:space="preserve"> </w:t>
      </w:r>
    </w:p>
    <w:p w:rsidR="00116E7D" w:rsidRPr="00DB0C54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Pr="00DB0C54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– внесены изменения в положение о му</w:t>
      </w:r>
      <w:r>
        <w:rPr>
          <w:rFonts w:ascii="Times New Roman" w:hAnsi="Times New Roman" w:cs="Times New Roman"/>
          <w:sz w:val="28"/>
          <w:szCs w:val="28"/>
        </w:rPr>
        <w:t>ниципальном земельном контроле;</w:t>
      </w:r>
    </w:p>
    <w:p w:rsidR="00116E7D" w:rsidRPr="00DB0C54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C54">
        <w:rPr>
          <w:rFonts w:ascii="Times New Roman" w:hAnsi="Times New Roman" w:cs="Times New Roman"/>
          <w:sz w:val="28"/>
          <w:szCs w:val="28"/>
        </w:rPr>
        <w:t>приняты и установлены индикаторы риска нарушения обязательных требований, используемые для определения необходимости проведения внеплановых проверок;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– приняты и утверждены формы документов, используемых при осуществлении муниципальн</w:t>
      </w:r>
      <w:r>
        <w:rPr>
          <w:rFonts w:ascii="Times New Roman" w:hAnsi="Times New Roman" w:cs="Times New Roman"/>
          <w:sz w:val="28"/>
          <w:szCs w:val="28"/>
        </w:rPr>
        <w:t>ого земельного контроля;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размещены памятки, пресс – релизы, содержащие разъяснения земельного законодательства. 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требований земельного законодательства комитетом утверждена программа профилактики нарушений обязательных требований земельного законодательства на 2022 год. 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указанной программы на 2022 год комитет: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поддерживал в актуальном состоянии перечни и тексты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контролю;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информировал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официальном сайте администрации муниципального района, устного консультирования, направления письменных ответов на обращения.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и эффективности проведения муниципального земельного контроля, комитетом совместно с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Управлением Россельхознадзора по Хабаровскому краю, Еврейской автономной и Магаданской областям было проведено 3 совещания</w:t>
      </w:r>
      <w:r w:rsidRPr="00B93F1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по вопросам осуществления муниципального земельного контроля.</w:t>
      </w:r>
    </w:p>
    <w:p w:rsidR="00116E7D" w:rsidRDefault="00116E7D" w:rsidP="00116E7D">
      <w:pPr>
        <w:pStyle w:val="ConsPlusNonformat"/>
        <w:ind w:firstLine="709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116E7D" w:rsidRPr="00FA236B" w:rsidRDefault="00116E7D" w:rsidP="00116E7D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A236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3. Цели и задачи реализации программы профилактики 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9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9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требований;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 субъектов земельных правоотношений. </w:t>
      </w:r>
    </w:p>
    <w:p w:rsidR="00116E7D" w:rsidRDefault="00116E7D" w:rsidP="00116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E7D" w:rsidRPr="00EA7ACD" w:rsidRDefault="00116E7D" w:rsidP="00116E7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116E7D" w:rsidRDefault="00116E7D" w:rsidP="00116E7D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2127"/>
      </w:tblGrid>
      <w:tr w:rsidR="00116E7D" w:rsidRPr="006457BB" w:rsidTr="00367DD2">
        <w:tc>
          <w:tcPr>
            <w:tcW w:w="675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253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127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116E7D" w:rsidRPr="006457BB" w:rsidTr="00367DD2">
        <w:tc>
          <w:tcPr>
            <w:tcW w:w="675" w:type="dxa"/>
          </w:tcPr>
          <w:p w:rsidR="00116E7D" w:rsidRPr="00AF3C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253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Информирование. 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 на официальном сайте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</w:tc>
      </w:tr>
      <w:tr w:rsidR="00116E7D" w:rsidRPr="006457BB" w:rsidTr="00367DD2">
        <w:tc>
          <w:tcPr>
            <w:tcW w:w="675" w:type="dxa"/>
          </w:tcPr>
          <w:p w:rsidR="00116E7D" w:rsidRPr="00AF3C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253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Консультирование.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 как в устной форме по телефону, видеоконференцсвязи, на личном приеме либо в ходе проведения профилактического мероприятия, контрольного (надзорного) мероприятия, так и в письменной форме.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Консультирование осуществляется по следующим вопросам: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компетенция уполномоченного органа;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соблюдение обязательных требований;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порядок проведения контрольных (надзорных) мероприятий;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меры ответственности, применяемые при нарушении обязательных требований. </w:t>
            </w:r>
          </w:p>
        </w:tc>
        <w:tc>
          <w:tcPr>
            <w:tcW w:w="2551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года по обращениям контролируемых лиц и их представителей с учетом особенностей организации личного приема в комитете. </w:t>
            </w:r>
          </w:p>
        </w:tc>
        <w:tc>
          <w:tcPr>
            <w:tcW w:w="2127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Комитет </w:t>
            </w:r>
          </w:p>
        </w:tc>
      </w:tr>
      <w:tr w:rsidR="00116E7D" w:rsidRPr="006457BB" w:rsidTr="00367DD2">
        <w:tc>
          <w:tcPr>
            <w:tcW w:w="675" w:type="dxa"/>
          </w:tcPr>
          <w:p w:rsidR="00116E7D" w:rsidRPr="00AF3C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253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Объявление предостережения о недопустимости нарушения обязательных требований (далее – предостережение).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Предостережение объявляется контролируемому лицу в случае наличия сведений о готовящихся нарушениях обязательных требований и (или) в случае отсутствия подтвержденных данных о том, что нарушение об</w:t>
            </w:r>
            <w:bookmarkStart w:id="0" w:name="_GoBack"/>
            <w:bookmarkEnd w:id="0"/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ущерба) охраняемым законом ценностям. </w:t>
            </w:r>
          </w:p>
        </w:tc>
        <w:tc>
          <w:tcPr>
            <w:tcW w:w="2551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 по мере появления оснований, предусмотренных законодательством.</w:t>
            </w:r>
          </w:p>
        </w:tc>
        <w:tc>
          <w:tcPr>
            <w:tcW w:w="2127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Комитет </w:t>
            </w:r>
          </w:p>
        </w:tc>
      </w:tr>
      <w:tr w:rsidR="00116E7D" w:rsidRPr="006457BB" w:rsidTr="00367DD2">
        <w:tc>
          <w:tcPr>
            <w:tcW w:w="675" w:type="dxa"/>
          </w:tcPr>
          <w:p w:rsidR="00116E7D" w:rsidRPr="00AF3C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4253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Профилактический визит.</w:t>
            </w:r>
          </w:p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видеоконференцсвязи.</w:t>
            </w:r>
          </w:p>
        </w:tc>
        <w:tc>
          <w:tcPr>
            <w:tcW w:w="2551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 по мере появления оснований, предусмотренных законодательством.</w:t>
            </w:r>
          </w:p>
        </w:tc>
        <w:tc>
          <w:tcPr>
            <w:tcW w:w="2127" w:type="dxa"/>
          </w:tcPr>
          <w:p w:rsidR="00116E7D" w:rsidRPr="006457BB" w:rsidRDefault="00116E7D" w:rsidP="00367DD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</w:tc>
      </w:tr>
    </w:tbl>
    <w:p w:rsidR="00116E7D" w:rsidRDefault="00116E7D" w:rsidP="00116E7D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116E7D" w:rsidRDefault="00116E7D" w:rsidP="00116E7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116E7D" w:rsidRDefault="00116E7D" w:rsidP="00116E7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16E7D" w:rsidRPr="00AF3CBB" w:rsidTr="00367DD2">
        <w:tc>
          <w:tcPr>
            <w:tcW w:w="817" w:type="dxa"/>
          </w:tcPr>
          <w:p w:rsidR="00116E7D" w:rsidRPr="00AF3CBB" w:rsidRDefault="00116E7D" w:rsidP="00367D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563" w:type="dxa"/>
          </w:tcPr>
          <w:p w:rsidR="00116E7D" w:rsidRPr="00AF3CBB" w:rsidRDefault="00116E7D" w:rsidP="00367D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16E7D" w:rsidRPr="00AF3CBB" w:rsidRDefault="00116E7D" w:rsidP="00367D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Величина</w:t>
            </w:r>
          </w:p>
        </w:tc>
      </w:tr>
      <w:tr w:rsidR="00116E7D" w:rsidRPr="00AF3CBB" w:rsidTr="00367DD2">
        <w:tc>
          <w:tcPr>
            <w:tcW w:w="817" w:type="dxa"/>
          </w:tcPr>
          <w:p w:rsidR="00116E7D" w:rsidRPr="00AF3CBB" w:rsidRDefault="00116E7D" w:rsidP="00367D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563" w:type="dxa"/>
          </w:tcPr>
          <w:p w:rsidR="00116E7D" w:rsidRPr="00AF3CBB" w:rsidRDefault="00116E7D" w:rsidP="00163959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Полнота информации, размещенной на официальном сайте контрольного органа в сети «Интернет», в соответствии с ч. 3 с. 46 Федерального закона от 31.07.202</w:t>
            </w:r>
            <w:r w:rsidR="00163959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248-ФЗ «О государственном контроле (надзоре) и муниципальном контроле в Российской Федерации» (%).</w:t>
            </w:r>
          </w:p>
        </w:tc>
        <w:tc>
          <w:tcPr>
            <w:tcW w:w="3191" w:type="dxa"/>
          </w:tcPr>
          <w:p w:rsidR="00116E7D" w:rsidRPr="00AF3CBB" w:rsidRDefault="00116E7D" w:rsidP="00367D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6E7D" w:rsidRPr="00AF3CBB" w:rsidTr="00367DD2">
        <w:tc>
          <w:tcPr>
            <w:tcW w:w="817" w:type="dxa"/>
          </w:tcPr>
          <w:p w:rsidR="00116E7D" w:rsidRPr="00AF3CBB" w:rsidRDefault="00116E7D" w:rsidP="00367D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563" w:type="dxa"/>
          </w:tcPr>
          <w:p w:rsidR="00116E7D" w:rsidRPr="00AF3CBB" w:rsidRDefault="00116E7D" w:rsidP="00367DD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sz w:val="24"/>
                <w:szCs w:val="28"/>
              </w:rPr>
              <w:t>Доля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удовлетворенных консультированием в общем количестве лиц, обратившихся за консультированием (%).</w:t>
            </w:r>
          </w:p>
        </w:tc>
        <w:tc>
          <w:tcPr>
            <w:tcW w:w="3191" w:type="dxa"/>
          </w:tcPr>
          <w:p w:rsidR="00116E7D" w:rsidRPr="00AF3CBB" w:rsidRDefault="00116E7D" w:rsidP="00367D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ГОТОВИЛ:</w:t>
      </w: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Заместитель председателя</w:t>
      </w: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комитета по управлению</w:t>
      </w: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муниципальным имуществом                                              А.И. Лопатина</w:t>
      </w:r>
    </w:p>
    <w:p w:rsidR="00B74573" w:rsidRDefault="00B74573" w:rsidP="00B74573">
      <w:pPr>
        <w:pStyle w:val="2"/>
        <w:ind w:firstLine="0"/>
        <w:rPr>
          <w:szCs w:val="28"/>
        </w:rPr>
      </w:pP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Первый заместитель</w:t>
      </w: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главы администрации</w:t>
      </w: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муниципального района                                                      Е.В. Бондаренко</w:t>
      </w:r>
    </w:p>
    <w:p w:rsidR="00B74573" w:rsidRDefault="00B74573" w:rsidP="00B74573">
      <w:pPr>
        <w:pStyle w:val="2"/>
        <w:ind w:firstLine="0"/>
        <w:rPr>
          <w:szCs w:val="28"/>
        </w:rPr>
      </w:pP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 xml:space="preserve">по вопросам внутренней политики                                     С.В. </w:t>
      </w:r>
      <w:r w:rsidR="00230A8F">
        <w:rPr>
          <w:szCs w:val="28"/>
        </w:rPr>
        <w:t>Лисицына</w:t>
      </w:r>
    </w:p>
    <w:p w:rsidR="00B74573" w:rsidRDefault="00B74573" w:rsidP="00B74573">
      <w:pPr>
        <w:pStyle w:val="2"/>
        <w:ind w:firstLine="0"/>
        <w:rPr>
          <w:szCs w:val="28"/>
        </w:rPr>
      </w:pPr>
    </w:p>
    <w:p w:rsidR="00B74573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Главный специалист – эксперт</w:t>
      </w:r>
    </w:p>
    <w:p w:rsidR="00B74573" w:rsidRPr="00C02E39" w:rsidRDefault="00B74573" w:rsidP="00B74573">
      <w:pPr>
        <w:pStyle w:val="2"/>
        <w:ind w:firstLine="0"/>
        <w:rPr>
          <w:szCs w:val="28"/>
        </w:rPr>
      </w:pPr>
      <w:r>
        <w:rPr>
          <w:szCs w:val="28"/>
        </w:rPr>
        <w:t>правового отдела                                                                 С.В. Ларькова</w:t>
      </w:r>
    </w:p>
    <w:p w:rsidR="005D25BF" w:rsidRDefault="005D25BF" w:rsidP="00435FC2">
      <w:pPr>
        <w:pStyle w:val="formattext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5D25BF" w:rsidRPr="00C02E39" w:rsidRDefault="005D25BF" w:rsidP="00E35124">
      <w:pPr>
        <w:pStyle w:val="formattext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sectPr w:rsidR="005D25BF" w:rsidRPr="00C02E39" w:rsidSect="007453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6C38"/>
    <w:multiLevelType w:val="hybridMultilevel"/>
    <w:tmpl w:val="0190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42C"/>
    <w:multiLevelType w:val="hybridMultilevel"/>
    <w:tmpl w:val="C422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E52B2"/>
    <w:multiLevelType w:val="hybridMultilevel"/>
    <w:tmpl w:val="EA1A97B0"/>
    <w:lvl w:ilvl="0" w:tplc="2EDCFAA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A1C"/>
    <w:rsid w:val="000202A6"/>
    <w:rsid w:val="00021AC3"/>
    <w:rsid w:val="00065473"/>
    <w:rsid w:val="0009554E"/>
    <w:rsid w:val="000967CD"/>
    <w:rsid w:val="00097138"/>
    <w:rsid w:val="000A7CBD"/>
    <w:rsid w:val="000B0319"/>
    <w:rsid w:val="000C3AD5"/>
    <w:rsid w:val="000C5932"/>
    <w:rsid w:val="000D4837"/>
    <w:rsid w:val="000E3DB1"/>
    <w:rsid w:val="000E4AD4"/>
    <w:rsid w:val="000F11C2"/>
    <w:rsid w:val="00116E7D"/>
    <w:rsid w:val="00156399"/>
    <w:rsid w:val="00163959"/>
    <w:rsid w:val="00180D10"/>
    <w:rsid w:val="001A213A"/>
    <w:rsid w:val="001E6A8B"/>
    <w:rsid w:val="00215EF6"/>
    <w:rsid w:val="00225682"/>
    <w:rsid w:val="00230A8F"/>
    <w:rsid w:val="002518AA"/>
    <w:rsid w:val="002834FC"/>
    <w:rsid w:val="002858F4"/>
    <w:rsid w:val="002B23D3"/>
    <w:rsid w:val="002C0050"/>
    <w:rsid w:val="002F438D"/>
    <w:rsid w:val="002F6418"/>
    <w:rsid w:val="0031106C"/>
    <w:rsid w:val="003149E6"/>
    <w:rsid w:val="00327656"/>
    <w:rsid w:val="00331A1A"/>
    <w:rsid w:val="00376E55"/>
    <w:rsid w:val="00384093"/>
    <w:rsid w:val="0038684C"/>
    <w:rsid w:val="0039238A"/>
    <w:rsid w:val="0039690C"/>
    <w:rsid w:val="00397546"/>
    <w:rsid w:val="003C06C3"/>
    <w:rsid w:val="003E2B1E"/>
    <w:rsid w:val="003E46B2"/>
    <w:rsid w:val="004315E8"/>
    <w:rsid w:val="00435FC2"/>
    <w:rsid w:val="004E5B13"/>
    <w:rsid w:val="004F6565"/>
    <w:rsid w:val="0052661B"/>
    <w:rsid w:val="00552657"/>
    <w:rsid w:val="0056264F"/>
    <w:rsid w:val="005B52CF"/>
    <w:rsid w:val="005B53E4"/>
    <w:rsid w:val="005C122F"/>
    <w:rsid w:val="005D25BF"/>
    <w:rsid w:val="00610A78"/>
    <w:rsid w:val="0064121A"/>
    <w:rsid w:val="006636EF"/>
    <w:rsid w:val="00665849"/>
    <w:rsid w:val="00667CB6"/>
    <w:rsid w:val="00670839"/>
    <w:rsid w:val="0069689C"/>
    <w:rsid w:val="006A3F27"/>
    <w:rsid w:val="006B0864"/>
    <w:rsid w:val="006B575F"/>
    <w:rsid w:val="006B67E4"/>
    <w:rsid w:val="006C5ABC"/>
    <w:rsid w:val="00703529"/>
    <w:rsid w:val="007240C9"/>
    <w:rsid w:val="00745360"/>
    <w:rsid w:val="007458E4"/>
    <w:rsid w:val="00752B29"/>
    <w:rsid w:val="0075563B"/>
    <w:rsid w:val="00761D36"/>
    <w:rsid w:val="00787DBD"/>
    <w:rsid w:val="007B4BB2"/>
    <w:rsid w:val="007D0EF4"/>
    <w:rsid w:val="007D755D"/>
    <w:rsid w:val="007E3170"/>
    <w:rsid w:val="008009E8"/>
    <w:rsid w:val="00804E89"/>
    <w:rsid w:val="008252A9"/>
    <w:rsid w:val="00825AA1"/>
    <w:rsid w:val="008459C2"/>
    <w:rsid w:val="008815D3"/>
    <w:rsid w:val="008915CC"/>
    <w:rsid w:val="008B26D1"/>
    <w:rsid w:val="008F0AC8"/>
    <w:rsid w:val="00901D3A"/>
    <w:rsid w:val="00911720"/>
    <w:rsid w:val="00943935"/>
    <w:rsid w:val="009B6A09"/>
    <w:rsid w:val="00A12F32"/>
    <w:rsid w:val="00A334C5"/>
    <w:rsid w:val="00A41FE2"/>
    <w:rsid w:val="00A80BF5"/>
    <w:rsid w:val="00A907A1"/>
    <w:rsid w:val="00AA1E8F"/>
    <w:rsid w:val="00AE2C8B"/>
    <w:rsid w:val="00B005AF"/>
    <w:rsid w:val="00B052BC"/>
    <w:rsid w:val="00B30BF0"/>
    <w:rsid w:val="00B64F21"/>
    <w:rsid w:val="00B74573"/>
    <w:rsid w:val="00B765AB"/>
    <w:rsid w:val="00BC1CC8"/>
    <w:rsid w:val="00BE1F28"/>
    <w:rsid w:val="00C02E39"/>
    <w:rsid w:val="00C26A1C"/>
    <w:rsid w:val="00C91DED"/>
    <w:rsid w:val="00C94AF9"/>
    <w:rsid w:val="00CA1A55"/>
    <w:rsid w:val="00CE0EC4"/>
    <w:rsid w:val="00D131FB"/>
    <w:rsid w:val="00D272FA"/>
    <w:rsid w:val="00D638A1"/>
    <w:rsid w:val="00DC6610"/>
    <w:rsid w:val="00DC6C97"/>
    <w:rsid w:val="00DD4DE1"/>
    <w:rsid w:val="00DF51B8"/>
    <w:rsid w:val="00E35124"/>
    <w:rsid w:val="00E406D9"/>
    <w:rsid w:val="00E55046"/>
    <w:rsid w:val="00E7488E"/>
    <w:rsid w:val="00E85CC2"/>
    <w:rsid w:val="00EC27DA"/>
    <w:rsid w:val="00F02500"/>
    <w:rsid w:val="00F02BA8"/>
    <w:rsid w:val="00F75D6B"/>
    <w:rsid w:val="00F76138"/>
    <w:rsid w:val="00F828AF"/>
    <w:rsid w:val="00FA642C"/>
    <w:rsid w:val="00FC3656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FBFAF3A-A2A1-41D2-A9CE-9EDADE6A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A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AB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7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7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828A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F828AF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82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828A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31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745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C1CC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C1CC8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EC27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C27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1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KUMI3</cp:lastModifiedBy>
  <cp:revision>44</cp:revision>
  <cp:lastPrinted>2022-11-24T01:20:00Z</cp:lastPrinted>
  <dcterms:created xsi:type="dcterms:W3CDTF">2022-11-11T05:02:00Z</dcterms:created>
  <dcterms:modified xsi:type="dcterms:W3CDTF">2022-11-24T01:21:00Z</dcterms:modified>
</cp:coreProperties>
</file>